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2F924" w14:textId="774AB81F" w:rsidR="003B33CE" w:rsidRPr="003770F1" w:rsidRDefault="003B33CE" w:rsidP="00A245F2">
      <w:pPr>
        <w:rPr>
          <w:b/>
          <w:bCs/>
          <w:u w:val="single"/>
        </w:rPr>
      </w:pPr>
      <w:r w:rsidRPr="003770F1">
        <w:rPr>
          <w:b/>
          <w:bCs/>
          <w:u w:val="single"/>
        </w:rPr>
        <w:t>FALLO I</w:t>
      </w:r>
    </w:p>
    <w:p w14:paraId="49FAE34A" w14:textId="77777777" w:rsidR="006835FF" w:rsidRPr="006835FF" w:rsidRDefault="006835FF" w:rsidP="006835FF">
      <w:pPr>
        <w:rPr>
          <w:b/>
          <w:bCs/>
        </w:rPr>
      </w:pPr>
      <w:r w:rsidRPr="006835FF">
        <w:rPr>
          <w:b/>
          <w:bCs/>
        </w:rPr>
        <w:t>“Balmaceda, César Ariel y otros s/ recurso de casación”</w:t>
      </w:r>
    </w:p>
    <w:p w14:paraId="38EE6639" w14:textId="77777777" w:rsidR="006835FF" w:rsidRPr="006835FF" w:rsidRDefault="006835FF" w:rsidP="006835FF">
      <w:r w:rsidRPr="006835FF">
        <w:rPr>
          <w:b/>
          <w:bCs/>
        </w:rPr>
        <w:t>Causa:</w:t>
      </w:r>
      <w:r w:rsidRPr="006835FF">
        <w:t xml:space="preserve"> FMZ 43540/2017/TO1/66/CFC4</w:t>
      </w:r>
      <w:r w:rsidRPr="006835FF">
        <w:br/>
      </w:r>
      <w:r w:rsidRPr="006835FF">
        <w:rPr>
          <w:b/>
          <w:bCs/>
        </w:rPr>
        <w:t>Tribunal:</w:t>
      </w:r>
      <w:r w:rsidRPr="006835FF">
        <w:t xml:space="preserve"> Cámara Federal de Casación Penal, Sala II</w:t>
      </w:r>
      <w:r w:rsidRPr="006835FF">
        <w:br/>
      </w:r>
      <w:r w:rsidRPr="006835FF">
        <w:rPr>
          <w:b/>
          <w:bCs/>
        </w:rPr>
        <w:t>Jueces:</w:t>
      </w:r>
      <w:r w:rsidRPr="006835FF">
        <w:t xml:space="preserve"> Ángela E. Ledesma, Guillermo J. Yacobucci y Alejandro W. Slokar</w:t>
      </w:r>
      <w:r w:rsidRPr="006835FF">
        <w:br/>
      </w:r>
      <w:r w:rsidRPr="006835FF">
        <w:rPr>
          <w:b/>
          <w:bCs/>
        </w:rPr>
        <w:t>Fecha:</w:t>
      </w:r>
      <w:r w:rsidRPr="006835FF">
        <w:t xml:space="preserve"> 6 de agosto de 2024</w:t>
      </w:r>
      <w:r w:rsidRPr="006835FF">
        <w:br/>
      </w:r>
      <w:r w:rsidRPr="006835FF">
        <w:rPr>
          <w:b/>
          <w:bCs/>
        </w:rPr>
        <w:t>Registro:</w:t>
      </w:r>
      <w:r w:rsidRPr="006835FF">
        <w:t xml:space="preserve"> 867/2024.</w:t>
      </w:r>
    </w:p>
    <w:p w14:paraId="2CD47878" w14:textId="77777777" w:rsidR="006835FF" w:rsidRPr="006835FF" w:rsidRDefault="006835FF" w:rsidP="006835FF">
      <w:r w:rsidRPr="006835FF">
        <w:t xml:space="preserve">La sentencia revisa el pronunciamiento del </w:t>
      </w:r>
      <w:r w:rsidRPr="006835FF">
        <w:rPr>
          <w:b/>
          <w:bCs/>
        </w:rPr>
        <w:t>Tribunal Oral en lo Criminal Federal de San Luis</w:t>
      </w:r>
      <w:r w:rsidRPr="006835FF">
        <w:t xml:space="preserve">, que el 18 de mayo de 2023 —con fundamentos dados a conocer el 2 de agosto— condenó a un numeroso grupo de imputados por distintas formas de intervención en una </w:t>
      </w:r>
      <w:r w:rsidRPr="006835FF">
        <w:rPr>
          <w:b/>
          <w:bCs/>
        </w:rPr>
        <w:t>asociación ilícita fiscal prevista en el art. 15 inc. c) del Régimen Penal Tributario</w:t>
      </w:r>
      <w:r w:rsidRPr="006835FF">
        <w:t>.</w:t>
      </w:r>
    </w:p>
    <w:p w14:paraId="6E1E4C50" w14:textId="77777777" w:rsidR="006835FF" w:rsidRPr="006835FF" w:rsidRDefault="006835FF" w:rsidP="006835FF">
      <w:pPr>
        <w:rPr>
          <w:b/>
          <w:bCs/>
        </w:rPr>
      </w:pPr>
      <w:r w:rsidRPr="006835FF">
        <w:rPr>
          <w:b/>
          <w:bCs/>
        </w:rPr>
        <w:t>1. Antecedentes fácticos y jurídicos</w:t>
      </w:r>
    </w:p>
    <w:p w14:paraId="1B628629" w14:textId="77777777" w:rsidR="006835FF" w:rsidRPr="006835FF" w:rsidRDefault="006835FF" w:rsidP="006835FF">
      <w:r w:rsidRPr="006835FF">
        <w:t xml:space="preserve">La causa tuvo por objeto una organización dedicada a la </w:t>
      </w:r>
      <w:r w:rsidRPr="006835FF">
        <w:rPr>
          <w:b/>
          <w:bCs/>
        </w:rPr>
        <w:t>generación y comercialización de facturación apócrifa</w:t>
      </w:r>
      <w:r w:rsidRPr="006835FF">
        <w:t>, mediante distintas personas humanas y jurídicas que funcionaban como “usinas”, cuyos comprobantes eran utilizados por contribuyentes para producir efectos tributarios indebidos.</w:t>
      </w:r>
    </w:p>
    <w:p w14:paraId="2DC1985B" w14:textId="77777777" w:rsidR="006835FF" w:rsidRPr="006835FF" w:rsidRDefault="006835FF" w:rsidP="006835FF">
      <w:r w:rsidRPr="006835FF">
        <w:t xml:space="preserve">El Tribunal Oral consideró acreditada la existencia de una estructura organizada y estable en la que los distintos imputados cumplían funciones diferenciadas. En términos jurídicos, el núcleo de la imputación no consistió simplemente en la comisión de evasiones tributarias individuales, sino en la integración o colaboración con una </w:t>
      </w:r>
      <w:r w:rsidRPr="006835FF">
        <w:rPr>
          <w:b/>
          <w:bCs/>
        </w:rPr>
        <w:t>organización destinada habitualmente a cometer delitos previstos por el régimen penal tributario</w:t>
      </w:r>
      <w:r w:rsidRPr="006835FF">
        <w:t>, subsumida en el art. 15 inc. c).</w:t>
      </w:r>
    </w:p>
    <w:p w14:paraId="76FE9D24" w14:textId="77777777" w:rsidR="006835FF" w:rsidRPr="006835FF" w:rsidRDefault="006835FF" w:rsidP="006835FF">
      <w:r w:rsidRPr="006835FF">
        <w:t>La investigación incluyó allanamientos y secuestro de documentación física y digital, registros de IVA, facturas, remitos, balances, correos electrónicos, computadoras, teléfonos, planillas y demás información relativa tanto a las usinas como a los usuarios de la facturación apócrifa.</w:t>
      </w:r>
    </w:p>
    <w:p w14:paraId="20DF763A" w14:textId="77777777" w:rsidR="006835FF" w:rsidRPr="006835FF" w:rsidRDefault="006835FF" w:rsidP="006835FF">
      <w:r w:rsidRPr="006835FF">
        <w:t xml:space="preserve">El Tribunal Oral distinguió distintas categorías de responsabilidad. Entre otras condenas, impuso </w:t>
      </w:r>
      <w:r w:rsidRPr="006835FF">
        <w:rPr>
          <w:b/>
          <w:bCs/>
        </w:rPr>
        <w:t>seis años de prisión a César Ariel Balmaceda</w:t>
      </w:r>
      <w:r w:rsidRPr="006835FF">
        <w:t xml:space="preserve">, considerado jefe y organizador; condenó como integrantes o coautores a otros imputados; calificó a Cristian y Oscar Giuliano, Enrique Hanna Abdallah y Fernando Iglesias como partícipes necesarios; y a Jorge Pereira, José Sosa, Daniel Escalante, Marcos Naldini, Pablo Mauri, Norberto Royón Blanco, Diego Minudri y Julián Rolandi como </w:t>
      </w:r>
      <w:r w:rsidRPr="006835FF">
        <w:rPr>
          <w:b/>
          <w:bCs/>
        </w:rPr>
        <w:t>partícipes secundarios</w:t>
      </w:r>
      <w:r w:rsidRPr="006835FF">
        <w:t>.</w:t>
      </w:r>
    </w:p>
    <w:p w14:paraId="37C74432" w14:textId="77777777" w:rsidR="006835FF" w:rsidRPr="006835FF" w:rsidRDefault="006835FF" w:rsidP="006835FF">
      <w:r w:rsidRPr="006835FF">
        <w:t xml:space="preserve">Este último punto resultó particularmente problemático en Casación porque obligó a determinar si la figura de la </w:t>
      </w:r>
      <w:r w:rsidRPr="006835FF">
        <w:rPr>
          <w:b/>
          <w:bCs/>
        </w:rPr>
        <w:t>participación secundaria del art. 46 CP resulta conceptualmente compatible con el delito asociativo del art. 15 inc. c)</w:t>
      </w:r>
      <w:r w:rsidRPr="006835FF">
        <w:t>.</w:t>
      </w:r>
    </w:p>
    <w:p w14:paraId="729003AF" w14:textId="77777777" w:rsidR="006835FF" w:rsidRPr="006835FF" w:rsidRDefault="006835FF" w:rsidP="006835FF">
      <w:r w:rsidRPr="006835FF">
        <w:t>Contra las condenas interpusieron recursos de casación prácticamente todas las defensas, lo que dio lugar a una extensa revisión tanto de cuestiones procesales como sustantivas.</w:t>
      </w:r>
    </w:p>
    <w:p w14:paraId="19EA4265" w14:textId="77777777" w:rsidR="006835FF" w:rsidRPr="006835FF" w:rsidRDefault="003770F1" w:rsidP="006835FF">
      <w:r>
        <w:pict w14:anchorId="01366161">
          <v:rect id="_x0000_i1025" style="width:0;height:1.5pt" o:hralign="center" o:hrstd="t" o:hr="t" fillcolor="#a0a0a0" stroked="f"/>
        </w:pict>
      </w:r>
    </w:p>
    <w:p w14:paraId="4B01CCDF" w14:textId="77777777" w:rsidR="006835FF" w:rsidRPr="006835FF" w:rsidRDefault="006835FF" w:rsidP="006835FF">
      <w:pPr>
        <w:rPr>
          <w:b/>
          <w:bCs/>
        </w:rPr>
      </w:pPr>
      <w:r w:rsidRPr="006835FF">
        <w:rPr>
          <w:b/>
          <w:bCs/>
        </w:rPr>
        <w:t>2. Posturas de las defensas y su merituación</w:t>
      </w:r>
    </w:p>
    <w:p w14:paraId="1F1D58FC" w14:textId="77777777" w:rsidR="006835FF" w:rsidRPr="006835FF" w:rsidRDefault="006835FF" w:rsidP="006835FF">
      <w:r w:rsidRPr="006835FF">
        <w:t>Aunque cada imputado articuló agravios específicos, pueden agruparse los planteos defensivos en varios grandes ejes.</w:t>
      </w:r>
    </w:p>
    <w:p w14:paraId="43EB8A72" w14:textId="77777777" w:rsidR="006835FF" w:rsidRPr="006835FF" w:rsidRDefault="006835FF" w:rsidP="006835FF">
      <w:pPr>
        <w:rPr>
          <w:b/>
          <w:bCs/>
        </w:rPr>
      </w:pPr>
      <w:r w:rsidRPr="006835FF">
        <w:rPr>
          <w:b/>
          <w:bCs/>
        </w:rPr>
        <w:lastRenderedPageBreak/>
        <w:t>a. Nulidades y afectación del juez natural</w:t>
      </w:r>
    </w:p>
    <w:p w14:paraId="3E2B1B85" w14:textId="77777777" w:rsidR="006835FF" w:rsidRPr="006835FF" w:rsidRDefault="006835FF" w:rsidP="006835FF">
      <w:r w:rsidRPr="006835FF">
        <w:t xml:space="preserve">Se cuestionó la designación del juez </w:t>
      </w:r>
      <w:r w:rsidRPr="006835FF">
        <w:rPr>
          <w:b/>
          <w:bCs/>
        </w:rPr>
        <w:t>Raúl Alberto Fourcade como subrogante</w:t>
      </w:r>
      <w:r w:rsidRPr="006835FF">
        <w:t xml:space="preserve"> del Juzgado Federal de San Luis. Las defensas entendieron que la designación no había respetado el procedimiento de la ley 27.439, especialmente la exigencia de sorteo.</w:t>
      </w:r>
    </w:p>
    <w:p w14:paraId="16CB8A92" w14:textId="77777777" w:rsidR="006835FF" w:rsidRPr="006835FF" w:rsidRDefault="006835FF" w:rsidP="006835FF">
      <w:r w:rsidRPr="006835FF">
        <w:t>Se alegó que existían otros magistrados susceptibles de intervenir y que Fourcade había adoptado decisiones relevantes durante la instrucción, entre ellas el procesamiento y el rechazo de oposiciones a la elevación a juicio.</w:t>
      </w:r>
    </w:p>
    <w:p w14:paraId="198FC0EF" w14:textId="77777777" w:rsidR="006835FF" w:rsidRPr="006835FF" w:rsidRDefault="006835FF" w:rsidP="006835FF">
      <w:r w:rsidRPr="006835FF">
        <w:rPr>
          <w:b/>
          <w:bCs/>
        </w:rPr>
        <w:t>Casación rechazó el planteo.</w:t>
      </w:r>
      <w:r w:rsidRPr="006835FF">
        <w:t xml:space="preserve"> Se consideró que, dadas las circunstancias existentes en cada momento, Fourcade era el magistrado habilitado para asumir la subrogancia: Diamante se encontraba apartada de la causa y los magistrados mendocinos tenían distinta competencia territorial. La ausencia de sorteo no generaba, en esas particulares condiciones, una lesión concreta de la garantía del juez natural.</w:t>
      </w:r>
    </w:p>
    <w:p w14:paraId="3AE945A6" w14:textId="77777777" w:rsidR="006835FF" w:rsidRPr="006835FF" w:rsidRDefault="006835FF" w:rsidP="006835FF">
      <w:pPr>
        <w:rPr>
          <w:b/>
          <w:bCs/>
        </w:rPr>
      </w:pPr>
      <w:r w:rsidRPr="006835FF">
        <w:rPr>
          <w:b/>
          <w:bCs/>
        </w:rPr>
        <w:t>b. Nulidades vinculadas con allanamientos y prueba</w:t>
      </w:r>
    </w:p>
    <w:p w14:paraId="2221CD52" w14:textId="77777777" w:rsidR="006835FF" w:rsidRPr="006835FF" w:rsidRDefault="006835FF" w:rsidP="006835FF">
      <w:r w:rsidRPr="006835FF">
        <w:t xml:space="preserve">También se cuestionaron los allanamientos, el alcance de las órdenes judiciales, la obtención y tratamiento de evidencia informática y, en determinados casos, la </w:t>
      </w:r>
      <w:r w:rsidRPr="006835FF">
        <w:rPr>
          <w:b/>
          <w:bCs/>
        </w:rPr>
        <w:t>cadena de custodia</w:t>
      </w:r>
      <w:r w:rsidRPr="006835FF">
        <w:t>.</w:t>
      </w:r>
    </w:p>
    <w:p w14:paraId="05CE785E" w14:textId="77777777" w:rsidR="006835FF" w:rsidRPr="006835FF" w:rsidRDefault="006835FF" w:rsidP="006835FF">
      <w:r w:rsidRPr="006835FF">
        <w:t>Las defensas sostuvieron que se habían incorporado elementos probatorios sin observar debidamente las garantías procesales. Por ejemplo, se alegó respecto de ciertos efectos secuestrados que habían sido abiertos y analizados sin una adecuada desintervención y sin mecanismos suficientes que garantizaran su indemnidad.</w:t>
      </w:r>
    </w:p>
    <w:p w14:paraId="5CEC5CC1" w14:textId="77777777" w:rsidR="006835FF" w:rsidRPr="006835FF" w:rsidRDefault="006835FF" w:rsidP="006835FF">
      <w:r w:rsidRPr="006835FF">
        <w:t xml:space="preserve">Estos planteos fueron esencialmente rechazados porque la Casación entendió que no se había demostrado un </w:t>
      </w:r>
      <w:r w:rsidRPr="006835FF">
        <w:rPr>
          <w:b/>
          <w:bCs/>
        </w:rPr>
        <w:t>perjuicio concreto</w:t>
      </w:r>
      <w:r w:rsidRPr="006835FF">
        <w:t>, sino irregularidades planteadas en términos predominantemente hipotéticos.</w:t>
      </w:r>
    </w:p>
    <w:p w14:paraId="72AF3133" w14:textId="77777777" w:rsidR="006835FF" w:rsidRPr="006835FF" w:rsidRDefault="006835FF" w:rsidP="006835FF">
      <w:pPr>
        <w:rPr>
          <w:b/>
          <w:bCs/>
        </w:rPr>
      </w:pPr>
      <w:r w:rsidRPr="006835FF">
        <w:rPr>
          <w:b/>
          <w:bCs/>
        </w:rPr>
        <w:t>c. Falta de acreditación de la asociación ilícita</w:t>
      </w:r>
    </w:p>
    <w:p w14:paraId="45FF709B" w14:textId="77777777" w:rsidR="006835FF" w:rsidRPr="006835FF" w:rsidRDefault="006835FF" w:rsidP="006835FF">
      <w:r w:rsidRPr="006835FF">
        <w:t>Varias defensas cuestionaron que la prueba permitiera demostrar una verdadera organización con las características exigidas por el art. 15 inc. c).</w:t>
      </w:r>
    </w:p>
    <w:p w14:paraId="738FC68B" w14:textId="77777777" w:rsidR="006835FF" w:rsidRPr="006835FF" w:rsidRDefault="006835FF" w:rsidP="006835FF">
      <w:r w:rsidRPr="006835FF">
        <w:t>El argumento central consistió en distinguir entre:</w:t>
      </w:r>
    </w:p>
    <w:p w14:paraId="6DC0B356" w14:textId="77777777" w:rsidR="006835FF" w:rsidRPr="006835FF" w:rsidRDefault="006835FF" w:rsidP="00447176">
      <w:pPr>
        <w:numPr>
          <w:ilvl w:val="0"/>
          <w:numId w:val="1"/>
        </w:numPr>
      </w:pPr>
      <w:r w:rsidRPr="006835FF">
        <w:t>la realización o colaboración con operaciones tributariamente irregulares;</w:t>
      </w:r>
    </w:p>
    <w:p w14:paraId="14ACD95D" w14:textId="77777777" w:rsidR="006835FF" w:rsidRPr="006835FF" w:rsidRDefault="006835FF" w:rsidP="00447176">
      <w:pPr>
        <w:numPr>
          <w:ilvl w:val="0"/>
          <w:numId w:val="1"/>
        </w:numPr>
      </w:pPr>
      <w:r w:rsidRPr="006835FF">
        <w:t>la utilización de facturas apócrifas; y</w:t>
      </w:r>
    </w:p>
    <w:p w14:paraId="461B86A6" w14:textId="77777777" w:rsidR="006835FF" w:rsidRPr="006835FF" w:rsidRDefault="006835FF" w:rsidP="00447176">
      <w:pPr>
        <w:numPr>
          <w:ilvl w:val="0"/>
          <w:numId w:val="1"/>
        </w:numPr>
      </w:pPr>
      <w:r w:rsidRPr="006835FF">
        <w:t xml:space="preserve">el conocimiento y voluntad de </w:t>
      </w:r>
      <w:r w:rsidRPr="006835FF">
        <w:rPr>
          <w:b/>
          <w:bCs/>
        </w:rPr>
        <w:t>integrar una asociación ilícita fiscal</w:t>
      </w:r>
      <w:r w:rsidRPr="006835FF">
        <w:t>.</w:t>
      </w:r>
    </w:p>
    <w:p w14:paraId="29095B2F" w14:textId="77777777" w:rsidR="006835FF" w:rsidRPr="006835FF" w:rsidRDefault="006835FF" w:rsidP="006835FF">
      <w:r w:rsidRPr="006835FF">
        <w:t>Según las defensas, acreditar operaciones con facturación falsa no bastaba para probar el dolo específico necesario para integrar una estructura criminal estable.</w:t>
      </w:r>
    </w:p>
    <w:p w14:paraId="66FBDB7C" w14:textId="77777777" w:rsidR="006835FF" w:rsidRPr="006835FF" w:rsidRDefault="006835FF" w:rsidP="006835FF">
      <w:r w:rsidRPr="006835FF">
        <w:t xml:space="preserve">Casación, por mayoría, </w:t>
      </w:r>
      <w:r w:rsidRPr="006835FF">
        <w:rPr>
          <w:b/>
          <w:bCs/>
        </w:rPr>
        <w:t>no aceptó esa objeción respecto de quienes habían sido considerados integrantes, coautores o partícipes necesarios</w:t>
      </w:r>
      <w:r w:rsidRPr="006835FF">
        <w:t>. Entendió suficientemente acreditada la existencia de la organización y el reparto funcional de tareas entre sus integrantes.</w:t>
      </w:r>
    </w:p>
    <w:p w14:paraId="672013D6" w14:textId="77777777" w:rsidR="006835FF" w:rsidRPr="006835FF" w:rsidRDefault="006835FF" w:rsidP="006835FF">
      <w:pPr>
        <w:rPr>
          <w:b/>
          <w:bCs/>
        </w:rPr>
      </w:pPr>
      <w:r w:rsidRPr="006835FF">
        <w:rPr>
          <w:b/>
          <w:bCs/>
        </w:rPr>
        <w:t>d. Situación de los partícipes secundarios</w:t>
      </w:r>
    </w:p>
    <w:p w14:paraId="54A5F93E" w14:textId="77777777" w:rsidR="006835FF" w:rsidRPr="006835FF" w:rsidRDefault="006835FF" w:rsidP="006835FF">
      <w:r w:rsidRPr="006835FF">
        <w:t>Este fue uno de los puntos jurídicamente más relevantes.</w:t>
      </w:r>
    </w:p>
    <w:p w14:paraId="7E57AD11" w14:textId="77777777" w:rsidR="006835FF" w:rsidRPr="006835FF" w:rsidRDefault="006835FF" w:rsidP="006835FF">
      <w:r w:rsidRPr="006835FF">
        <w:t xml:space="preserve">Las defensas de </w:t>
      </w:r>
      <w:r w:rsidRPr="006835FF">
        <w:rPr>
          <w:b/>
          <w:bCs/>
        </w:rPr>
        <w:t>Sosa, Escalante, Naldini, Mauri, Royón Blanco y Rolandi</w:t>
      </w:r>
      <w:r w:rsidRPr="006835FF">
        <w:t xml:space="preserve"> cuestionaron que pudiera atribuirse participación secundaria en una asociación ilícita fiscal.</w:t>
      </w:r>
    </w:p>
    <w:p w14:paraId="04975473" w14:textId="77777777" w:rsidR="006835FF" w:rsidRPr="006835FF" w:rsidRDefault="006835FF" w:rsidP="006835FF">
      <w:r w:rsidRPr="006835FF">
        <w:lastRenderedPageBreak/>
        <w:t>El Tribunal Oral había utilizado el art. 46 CP porque entendió que estos sujetos habían efectuado contribuciones de menor importancia: habían generado beneficios para la organización, aunque sus aportes no tenían la entidad suficiente para considerarlos integrantes plenos.</w:t>
      </w:r>
    </w:p>
    <w:p w14:paraId="3C8F6937" w14:textId="77777777" w:rsidR="006835FF" w:rsidRPr="006835FF" w:rsidRDefault="006835FF" w:rsidP="006835FF">
      <w:r w:rsidRPr="006835FF">
        <w:t xml:space="preserve">Una de las posiciones desarrolladas en Casación consideró problemática esa construcción: dado que se trata de un </w:t>
      </w:r>
      <w:r w:rsidRPr="006835FF">
        <w:rPr>
          <w:b/>
          <w:bCs/>
        </w:rPr>
        <w:t>delito de peligro cuya acción típica consiste en “tomar parte” de una asociación</w:t>
      </w:r>
      <w:r w:rsidRPr="006835FF">
        <w:t>, resulta difícil concebir una colaboración secundaria con la asociación que no importe precisamente integrarla.</w:t>
      </w:r>
    </w:p>
    <w:p w14:paraId="64C4279D" w14:textId="77777777" w:rsidR="006835FF" w:rsidRPr="006835FF" w:rsidRDefault="006835FF" w:rsidP="006835FF">
      <w:r w:rsidRPr="006835FF">
        <w:t xml:space="preserve">Sin embargo, esa posición </w:t>
      </w:r>
      <w:r w:rsidRPr="006835FF">
        <w:rPr>
          <w:b/>
          <w:bCs/>
        </w:rPr>
        <w:t>no conformó la mayoría definitiva sobre la responsabilidad</w:t>
      </w:r>
      <w:r w:rsidRPr="006835FF">
        <w:t>, porque Ledesma y Slokar mantuvieron la validez de las condenas de los partícipes secundarios.</w:t>
      </w:r>
    </w:p>
    <w:p w14:paraId="54309A8F" w14:textId="77777777" w:rsidR="006835FF" w:rsidRPr="006835FF" w:rsidRDefault="006835FF" w:rsidP="006835FF">
      <w:pPr>
        <w:rPr>
          <w:b/>
          <w:bCs/>
        </w:rPr>
      </w:pPr>
      <w:r w:rsidRPr="006835FF">
        <w:rPr>
          <w:b/>
          <w:bCs/>
        </w:rPr>
        <w:t>e. Individualización de las penas</w:t>
      </w:r>
    </w:p>
    <w:p w14:paraId="67A648B2" w14:textId="77777777" w:rsidR="006835FF" w:rsidRPr="006835FF" w:rsidRDefault="006835FF" w:rsidP="006835FF">
      <w:r w:rsidRPr="006835FF">
        <w:t xml:space="preserve">Las defensas también cuestionaron las penas, especialmente las condenas de </w:t>
      </w:r>
      <w:r w:rsidRPr="006835FF">
        <w:rPr>
          <w:b/>
          <w:bCs/>
        </w:rPr>
        <w:t>tres años y seis meses de prisión efectiva</w:t>
      </w:r>
      <w:r w:rsidRPr="006835FF">
        <w:t>.</w:t>
      </w:r>
    </w:p>
    <w:p w14:paraId="713FD251" w14:textId="77777777" w:rsidR="006835FF" w:rsidRPr="006835FF" w:rsidRDefault="006835FF" w:rsidP="006835FF">
      <w:r w:rsidRPr="006835FF">
        <w:t>Este agravio sí tuvo recepción mayoritaria.</w:t>
      </w:r>
    </w:p>
    <w:p w14:paraId="38745EB8" w14:textId="77777777" w:rsidR="006835FF" w:rsidRPr="006835FF" w:rsidRDefault="006835FF" w:rsidP="006835FF">
      <w:r w:rsidRPr="006835FF">
        <w:t xml:space="preserve">La Casación consideró necesario ponderar con mayor rigor la culpabilidad concreta, el rol efectivamente desarrollado por cada imputado, la intensidad del injusto y las pautas de los arts. 40 y 41 CP. Tratándose además de un </w:t>
      </w:r>
      <w:r w:rsidRPr="006835FF">
        <w:rPr>
          <w:b/>
          <w:bCs/>
        </w:rPr>
        <w:t>delito de peligro que adelanta la punibilidad</w:t>
      </w:r>
      <w:r w:rsidRPr="006835FF">
        <w:t>, se estimó que varias penas aparecían excesivas.</w:t>
      </w:r>
    </w:p>
    <w:p w14:paraId="636284E5" w14:textId="77777777" w:rsidR="006835FF" w:rsidRPr="006835FF" w:rsidRDefault="006835FF" w:rsidP="006835FF">
      <w:r w:rsidRPr="006835FF">
        <w:t>Por ello se anuló parcialmente la sentencia únicamente respecto de la cuantificación de determinadas penas y se dispuso el reenvío para una nueva individualización.</w:t>
      </w:r>
    </w:p>
    <w:p w14:paraId="55912D0B" w14:textId="77777777" w:rsidR="006835FF" w:rsidRPr="006835FF" w:rsidRDefault="003770F1" w:rsidP="006835FF">
      <w:r>
        <w:pict w14:anchorId="1E427AC4">
          <v:rect id="_x0000_i1026" style="width:0;height:1.5pt" o:hralign="center" o:hrstd="t" o:hr="t" fillcolor="#a0a0a0" stroked="f"/>
        </w:pict>
      </w:r>
    </w:p>
    <w:p w14:paraId="3D79CF65" w14:textId="77777777" w:rsidR="006835FF" w:rsidRPr="006835FF" w:rsidRDefault="006835FF" w:rsidP="006835FF">
      <w:pPr>
        <w:rPr>
          <w:b/>
          <w:bCs/>
        </w:rPr>
      </w:pPr>
      <w:r w:rsidRPr="006835FF">
        <w:rPr>
          <w:b/>
          <w:bCs/>
        </w:rPr>
        <w:t>3. Posición de cada juez</w:t>
      </w:r>
    </w:p>
    <w:p w14:paraId="05162BB7" w14:textId="77777777" w:rsidR="006835FF" w:rsidRPr="006835FF" w:rsidRDefault="006835FF" w:rsidP="006835FF">
      <w:pPr>
        <w:rPr>
          <w:b/>
          <w:bCs/>
        </w:rPr>
      </w:pPr>
      <w:r w:rsidRPr="006835FF">
        <w:rPr>
          <w:b/>
          <w:bCs/>
        </w:rPr>
        <w:t>Guillermo J. Yacobucci</w:t>
      </w:r>
    </w:p>
    <w:p w14:paraId="3E97ACAD" w14:textId="77777777" w:rsidR="006835FF" w:rsidRPr="006835FF" w:rsidRDefault="006835FF" w:rsidP="006835FF">
      <w:r w:rsidRPr="006835FF">
        <w:t>Yacobucci emitió el primer voto y realizó la revisión integral de los planteos.</w:t>
      </w:r>
    </w:p>
    <w:p w14:paraId="5BC82E3B" w14:textId="77777777" w:rsidR="006835FF" w:rsidRPr="006835FF" w:rsidRDefault="006835FF" w:rsidP="006835FF">
      <w:r w:rsidRPr="006835FF">
        <w:t xml:space="preserve">En líneas generales, </w:t>
      </w:r>
      <w:r w:rsidRPr="006835FF">
        <w:rPr>
          <w:b/>
          <w:bCs/>
        </w:rPr>
        <w:t>convalidó la existencia de la asociación ilícita fiscal</w:t>
      </w:r>
      <w:r w:rsidRPr="006835FF">
        <w:t>, la valoración probatoria efectuada por el Tribunal Oral y la responsabilidad de quienes habían sido considerados integrantes, coautores o partícipes necesarios.</w:t>
      </w:r>
    </w:p>
    <w:p w14:paraId="29A26EEB" w14:textId="77777777" w:rsidR="006835FF" w:rsidRPr="006835FF" w:rsidRDefault="006835FF" w:rsidP="006835FF">
      <w:r w:rsidRPr="006835FF">
        <w:t>También rechazó las nulidades vinculadas con la integración del tribunal, las subrogancias, los allanamientos y las restantes objeciones procesales.</w:t>
      </w:r>
    </w:p>
    <w:p w14:paraId="5785ECE9" w14:textId="77777777" w:rsidR="006835FF" w:rsidRPr="006835FF" w:rsidRDefault="006835FF" w:rsidP="006835FF">
      <w:r w:rsidRPr="006835FF">
        <w:t xml:space="preserve">Sin embargo, adoptó una posición particular respecto de los </w:t>
      </w:r>
      <w:r w:rsidRPr="006835FF">
        <w:rPr>
          <w:b/>
          <w:bCs/>
        </w:rPr>
        <w:t>partícipes secundarios</w:t>
      </w:r>
      <w:r w:rsidRPr="006835FF">
        <w:t xml:space="preserve">. Consideró que las características del delito asociativo y la acción típica consistente en “tomar parte” tornaban incompatible la atribución de una mera participación secundaria del art. 46 CP. En consecuencia, entendió que correspondía absolver a </w:t>
      </w:r>
      <w:r w:rsidRPr="006835FF">
        <w:rPr>
          <w:b/>
          <w:bCs/>
        </w:rPr>
        <w:t>Sosa, Escalante, Naldini, Mauri, Royón Blanco y Rolandi</w:t>
      </w:r>
      <w:r w:rsidRPr="006835FF">
        <w:t xml:space="preserve">, extendiendo esa solución a </w:t>
      </w:r>
      <w:r w:rsidRPr="006835FF">
        <w:rPr>
          <w:b/>
          <w:bCs/>
        </w:rPr>
        <w:t>Minudri y Pereira</w:t>
      </w:r>
      <w:r w:rsidRPr="006835FF">
        <w:t>.</w:t>
      </w:r>
    </w:p>
    <w:p w14:paraId="47DE81AF" w14:textId="77777777" w:rsidR="006835FF" w:rsidRPr="006835FF" w:rsidRDefault="006835FF" w:rsidP="006835FF">
      <w:r w:rsidRPr="006835FF">
        <w:t xml:space="preserve">Esta posición </w:t>
      </w:r>
      <w:r w:rsidRPr="006835FF">
        <w:rPr>
          <w:b/>
          <w:bCs/>
        </w:rPr>
        <w:t>quedó en minoría</w:t>
      </w:r>
      <w:r w:rsidRPr="006835FF">
        <w:t>.</w:t>
      </w:r>
    </w:p>
    <w:p w14:paraId="3E21E4A6" w14:textId="77777777" w:rsidR="006835FF" w:rsidRPr="006835FF" w:rsidRDefault="006835FF" w:rsidP="006835FF">
      <w:r w:rsidRPr="006835FF">
        <w:t>Por otra parte, consideró excesivas diversas penas y propuso su anulación parcial y el reenvío para que fueran nuevamente individualizadas.</w:t>
      </w:r>
    </w:p>
    <w:p w14:paraId="354D987C" w14:textId="77777777" w:rsidR="006835FF" w:rsidRPr="006835FF" w:rsidRDefault="003770F1" w:rsidP="006835FF">
      <w:r>
        <w:pict w14:anchorId="776C7157">
          <v:rect id="_x0000_i1027" style="width:0;height:1.5pt" o:hralign="center" o:hrstd="t" o:hr="t" fillcolor="#a0a0a0" stroked="f"/>
        </w:pict>
      </w:r>
    </w:p>
    <w:p w14:paraId="7CDFA143" w14:textId="77777777" w:rsidR="006835FF" w:rsidRPr="006835FF" w:rsidRDefault="006835FF" w:rsidP="006835FF">
      <w:pPr>
        <w:rPr>
          <w:b/>
          <w:bCs/>
        </w:rPr>
      </w:pPr>
      <w:r w:rsidRPr="006835FF">
        <w:rPr>
          <w:b/>
          <w:bCs/>
        </w:rPr>
        <w:lastRenderedPageBreak/>
        <w:t>Ángela E. Ledesma</w:t>
      </w:r>
    </w:p>
    <w:p w14:paraId="2A3A8DD6" w14:textId="77777777" w:rsidR="006835FF" w:rsidRPr="006835FF" w:rsidRDefault="006835FF" w:rsidP="006835FF">
      <w:r w:rsidRPr="006835FF">
        <w:t>Ledesma coincidió sustancialmente con Yacobucci en el rechazo de las nulidades y de los cuestionamientos dirigidos contra la existencia de la organización y la responsabilidad de quienes fueron considerados coautores o partícipes necesarios.</w:t>
      </w:r>
    </w:p>
    <w:p w14:paraId="23602662" w14:textId="77777777" w:rsidR="006835FF" w:rsidRPr="006835FF" w:rsidRDefault="006835FF" w:rsidP="006835FF">
      <w:r w:rsidRPr="006835FF">
        <w:t xml:space="preserve">La diferencia central estuvo en los </w:t>
      </w:r>
      <w:r w:rsidRPr="006835FF">
        <w:rPr>
          <w:b/>
          <w:bCs/>
        </w:rPr>
        <w:t>partícipes secundarios</w:t>
      </w:r>
      <w:r w:rsidRPr="006835FF">
        <w:t>.</w:t>
      </w:r>
    </w:p>
    <w:p w14:paraId="3AAD36B3" w14:textId="77777777" w:rsidR="006835FF" w:rsidRPr="006835FF" w:rsidRDefault="006835FF" w:rsidP="006835FF">
      <w:r w:rsidRPr="006835FF">
        <w:t xml:space="preserve">A diferencia de Yacobucci, entendió que </w:t>
      </w:r>
      <w:r w:rsidRPr="006835FF">
        <w:rPr>
          <w:b/>
          <w:bCs/>
        </w:rPr>
        <w:t>no correspondía absolverlos</w:t>
      </w:r>
      <w:r w:rsidRPr="006835FF">
        <w:t>, admitiendo la posibilidad jurídica de participación secundaria en el delito asociativo y considerando suficientemente fundada su responsabilidad.</w:t>
      </w:r>
    </w:p>
    <w:p w14:paraId="2218343D" w14:textId="77777777" w:rsidR="006835FF" w:rsidRPr="006835FF" w:rsidRDefault="006835FF" w:rsidP="006835FF">
      <w:r w:rsidRPr="006835FF">
        <w:t>En materia de pena, en cambio, coincidió con Yacobucci. Destacó que, por tratarse de un delito de peligro que supone un adelantamiento de la punibilidad, la individualización debía realizarse con particular rigor, considerando el grado concreto de culpabilidad y el rol de cada imputado. Consideró excesivas varias penas y propició su anulación parcial y reenvío.</w:t>
      </w:r>
    </w:p>
    <w:p w14:paraId="1598DF61" w14:textId="77777777" w:rsidR="006835FF" w:rsidRPr="006835FF" w:rsidRDefault="006835FF" w:rsidP="006835FF">
      <w:r w:rsidRPr="006835FF">
        <w:t xml:space="preserve">También entendió que esta solución debía extenderse, por razones de </w:t>
      </w:r>
      <w:r w:rsidRPr="006835FF">
        <w:rPr>
          <w:b/>
          <w:bCs/>
        </w:rPr>
        <w:t>equidad y efecto extensivo del recurso</w:t>
      </w:r>
      <w:r w:rsidRPr="006835FF">
        <w:t>, a otros condenados que se encontraban en situación equivalente.</w:t>
      </w:r>
    </w:p>
    <w:p w14:paraId="24BE5033" w14:textId="77777777" w:rsidR="006835FF" w:rsidRPr="006835FF" w:rsidRDefault="003770F1" w:rsidP="006835FF">
      <w:r>
        <w:pict w14:anchorId="16450E88">
          <v:rect id="_x0000_i1028" style="width:0;height:1.5pt" o:hralign="center" o:hrstd="t" o:hr="t" fillcolor="#a0a0a0" stroked="f"/>
        </w:pict>
      </w:r>
    </w:p>
    <w:p w14:paraId="341784B4" w14:textId="77777777" w:rsidR="006835FF" w:rsidRPr="006835FF" w:rsidRDefault="006835FF" w:rsidP="006835FF">
      <w:pPr>
        <w:rPr>
          <w:b/>
          <w:bCs/>
        </w:rPr>
      </w:pPr>
      <w:r w:rsidRPr="006835FF">
        <w:rPr>
          <w:b/>
          <w:bCs/>
        </w:rPr>
        <w:t>Alejandro W. Slokar</w:t>
      </w:r>
    </w:p>
    <w:p w14:paraId="054AAE82" w14:textId="77777777" w:rsidR="006835FF" w:rsidRPr="006835FF" w:rsidRDefault="006835FF" w:rsidP="006835FF">
      <w:r w:rsidRPr="006835FF">
        <w:t>Slokar formó mayoría alternativamente con sus colegas.</w:t>
      </w:r>
    </w:p>
    <w:p w14:paraId="1D155EC9" w14:textId="77777777" w:rsidR="006835FF" w:rsidRPr="006835FF" w:rsidRDefault="006835FF" w:rsidP="006835FF">
      <w:r w:rsidRPr="006835FF">
        <w:t>En primer término, acompañó sustancialmente el rechazo de las nulidades y de los cuestionamientos contra la acreditación de la organización criminal, la responsabilidad de los coautores y partícipes necesarios y la calificación jurídica adoptada.</w:t>
      </w:r>
    </w:p>
    <w:p w14:paraId="57E20947" w14:textId="77777777" w:rsidR="006835FF" w:rsidRPr="006835FF" w:rsidRDefault="006835FF" w:rsidP="006835FF">
      <w:r w:rsidRPr="006835FF">
        <w:t xml:space="preserve">En la cuestión decisiva sobre los </w:t>
      </w:r>
      <w:r w:rsidRPr="006835FF">
        <w:rPr>
          <w:b/>
          <w:bCs/>
        </w:rPr>
        <w:t>partícipes secundarios</w:t>
      </w:r>
      <w:r w:rsidRPr="006835FF">
        <w:t xml:space="preserve">, Slokar se apartó de Yacobucci y </w:t>
      </w:r>
      <w:r w:rsidRPr="006835FF">
        <w:rPr>
          <w:b/>
          <w:bCs/>
        </w:rPr>
        <w:t>adhirió a Ledesma</w:t>
      </w:r>
      <w:r w:rsidRPr="006835FF">
        <w:t>: consideró que debían rechazarse los planteos dirigidos contra la atribución de responsabilidad penal de quienes habían sido condenados conforme al art. 46 CP. De este modo, las condenas quedaron firmes en cuanto a la declaración de responsabilidad.</w:t>
      </w:r>
    </w:p>
    <w:p w14:paraId="158AD4D8" w14:textId="77777777" w:rsidR="006835FF" w:rsidRPr="006835FF" w:rsidRDefault="006835FF" w:rsidP="006835FF">
      <w:r w:rsidRPr="006835FF">
        <w:t xml:space="preserve">En materia de pena, en cambio, Slokar coincidió con la solución de </w:t>
      </w:r>
      <w:r w:rsidRPr="006835FF">
        <w:rPr>
          <w:b/>
          <w:bCs/>
        </w:rPr>
        <w:t>anular parcialmente las penas y ordenar una nueva individualización</w:t>
      </w:r>
      <w:r w:rsidRPr="006835FF">
        <w:t>, conformando así la mayoría necesaria.</w:t>
      </w:r>
    </w:p>
    <w:p w14:paraId="0A14131A" w14:textId="77777777" w:rsidR="006835FF" w:rsidRPr="006835FF" w:rsidRDefault="003770F1" w:rsidP="006835FF">
      <w:r>
        <w:pict w14:anchorId="724B3345">
          <v:rect id="_x0000_i1029" style="width:0;height:1.5pt" o:hralign="center" o:hrstd="t" o:hr="t" fillcolor="#a0a0a0" stroked="f"/>
        </w:pict>
      </w:r>
    </w:p>
    <w:p w14:paraId="3F2D7B80" w14:textId="77777777" w:rsidR="006835FF" w:rsidRPr="006835FF" w:rsidRDefault="006835FF" w:rsidP="006835FF">
      <w:pPr>
        <w:rPr>
          <w:b/>
          <w:bCs/>
        </w:rPr>
      </w:pPr>
      <w:r w:rsidRPr="006835FF">
        <w:rPr>
          <w:b/>
          <w:bCs/>
        </w:rPr>
        <w:t>4. Resultado de la causa</w:t>
      </w:r>
    </w:p>
    <w:p w14:paraId="4EE7BA09" w14:textId="77777777" w:rsidR="006835FF" w:rsidRPr="006835FF" w:rsidRDefault="006835FF" w:rsidP="006835FF">
      <w:r w:rsidRPr="006835FF">
        <w:t>El juego de las tres posiciones produjo una solución especialmente importante:</w:t>
      </w:r>
    </w:p>
    <w:p w14:paraId="2AD8D1A0" w14:textId="77777777" w:rsidR="006835FF" w:rsidRPr="006835FF" w:rsidRDefault="006835FF" w:rsidP="006835FF">
      <w:r w:rsidRPr="006835FF">
        <w:rPr>
          <w:b/>
          <w:bCs/>
        </w:rPr>
        <w:t>Por unanimidad</w:t>
      </w:r>
      <w:r w:rsidRPr="006835FF">
        <w:t xml:space="preserve">, la Sala II rechazó los recursos de </w:t>
      </w:r>
      <w:r w:rsidRPr="006835FF">
        <w:rPr>
          <w:b/>
          <w:bCs/>
        </w:rPr>
        <w:t>César Ariel Balmaceda, Natalia Verónica Balmaceda, María Rosa Lucero, Fernando Manuel Iglesias y Lorena María Ramírez</w:t>
      </w:r>
      <w:r w:rsidRPr="006835FF">
        <w:t>, con costas.</w:t>
      </w:r>
    </w:p>
    <w:p w14:paraId="5AEE9F3F" w14:textId="77777777" w:rsidR="006835FF" w:rsidRPr="006835FF" w:rsidRDefault="006835FF" w:rsidP="006835FF">
      <w:r w:rsidRPr="006835FF">
        <w:rPr>
          <w:b/>
          <w:bCs/>
        </w:rPr>
        <w:t>Por mayoría</w:t>
      </w:r>
      <w:r w:rsidRPr="006835FF">
        <w:t xml:space="preserve">, hizo lugar parcialmente a los recursos de </w:t>
      </w:r>
      <w:r w:rsidRPr="006835FF">
        <w:rPr>
          <w:b/>
          <w:bCs/>
        </w:rPr>
        <w:t>Flavio Cabrera, Lucas Baldez, Oscar Muñoz Oviedo, Juan Cruz Borra, Enrique Hanna Abdallah, Norberto Royón Blanco, Julián Rolandi y Daniel Escalante</w:t>
      </w:r>
      <w:r w:rsidRPr="006835FF">
        <w:t xml:space="preserve">, pero </w:t>
      </w:r>
      <w:r w:rsidRPr="006835FF">
        <w:rPr>
          <w:b/>
          <w:bCs/>
        </w:rPr>
        <w:t>únicamente respecto del monto de las penas de prisión</w:t>
      </w:r>
      <w:r w:rsidRPr="006835FF">
        <w:t>.</w:t>
      </w:r>
    </w:p>
    <w:p w14:paraId="0F600F9A" w14:textId="77777777" w:rsidR="006835FF" w:rsidRPr="006835FF" w:rsidRDefault="006835FF" w:rsidP="006835FF">
      <w:r w:rsidRPr="006835FF">
        <w:t xml:space="preserve">La sentencia fue anulada parcialmente en ese aspecto y se ordenó devolver la causa al Tribunal Oral para que, </w:t>
      </w:r>
      <w:r w:rsidRPr="006835FF">
        <w:rPr>
          <w:b/>
          <w:bCs/>
        </w:rPr>
        <w:t>con otra integración y previa audiencia de visu</w:t>
      </w:r>
      <w:r w:rsidRPr="006835FF">
        <w:t>, fijara nuevamente las penas.</w:t>
      </w:r>
    </w:p>
    <w:p w14:paraId="73434702" w14:textId="77777777" w:rsidR="006835FF" w:rsidRPr="006835FF" w:rsidRDefault="006835FF" w:rsidP="006835FF">
      <w:r w:rsidRPr="006835FF">
        <w:lastRenderedPageBreak/>
        <w:t xml:space="preserve">La solución fue extendida a </w:t>
      </w:r>
      <w:r w:rsidRPr="006835FF">
        <w:rPr>
          <w:b/>
          <w:bCs/>
        </w:rPr>
        <w:t>Raúl Saá, Cristian Giuliano, Oscar Giuliano, Marcos Naldini, Pablo Mauri, José Sosa, Diego Minudri y Jorge Pereira</w:t>
      </w:r>
      <w:r w:rsidRPr="006835FF">
        <w:t>.</w:t>
      </w:r>
    </w:p>
    <w:p w14:paraId="7707FD2D" w14:textId="77777777" w:rsidR="006835FF" w:rsidRPr="006835FF" w:rsidRDefault="006835FF" w:rsidP="006835FF">
      <w:pPr>
        <w:rPr>
          <w:b/>
          <w:bCs/>
        </w:rPr>
      </w:pPr>
      <w:r w:rsidRPr="006835FF">
        <w:rPr>
          <w:b/>
          <w:bCs/>
        </w:rPr>
        <w:t>Síntesis de la mayoría</w:t>
      </w:r>
    </w:p>
    <w:p w14:paraId="0888A575" w14:textId="77777777" w:rsidR="006835FF" w:rsidRPr="006835FF" w:rsidRDefault="006835FF" w:rsidP="006835FF">
      <w:r w:rsidRPr="006835FF">
        <w:t xml:space="preserve">El punto más relevante del fallo puede expresarse así: </w:t>
      </w:r>
      <w:r w:rsidRPr="006835FF">
        <w:rPr>
          <w:b/>
          <w:bCs/>
        </w:rPr>
        <w:t>Casación mantuvo las declaraciones de responsabilidad penal y la calificación como asociación ilícita fiscal, incluso respecto de los condenados como partícipes secundarios, pero consideró que varias de las penas habían sido incorrectamente individualizadas y debían ser nuevamente determinadas.</w:t>
      </w:r>
    </w:p>
    <w:p w14:paraId="7D402196" w14:textId="77777777" w:rsidR="006835FF" w:rsidRPr="006835FF" w:rsidRDefault="006835FF" w:rsidP="006835FF">
      <w:r w:rsidRPr="006835FF">
        <w:t xml:space="preserve">La división fue particularmente clara respecto de los partícipes secundarios: </w:t>
      </w:r>
      <w:r w:rsidRPr="006835FF">
        <w:rPr>
          <w:b/>
          <w:bCs/>
        </w:rPr>
        <w:t>Yacobucci sostuvo su atipicidad y propuso absolverlos; Ledesma sostuvo la validez de esas condenas; y Slokar adhirió a Ledesma, formando mayoría para mantener la responsabilidad penal.</w:t>
      </w:r>
      <w:r w:rsidRPr="006835FF">
        <w:t xml:space="preserve"> En cambio, los tres convergieron —aunque mediante fundamentos y alcances propios— en la necesidad de revisar las penas de numerosos condenados.</w:t>
      </w:r>
    </w:p>
    <w:p w14:paraId="23FDC6D0" w14:textId="69FB8B4A" w:rsidR="006835FF" w:rsidRDefault="006835FF" w:rsidP="00A245F2"/>
    <w:p w14:paraId="721B781C" w14:textId="44B15931" w:rsidR="003C1B67" w:rsidRPr="003770F1" w:rsidRDefault="003C1B67" w:rsidP="00A245F2">
      <w:pPr>
        <w:rPr>
          <w:b/>
          <w:bCs/>
          <w:u w:val="single"/>
        </w:rPr>
      </w:pPr>
      <w:r w:rsidRPr="003770F1">
        <w:rPr>
          <w:b/>
          <w:bCs/>
          <w:u w:val="single"/>
        </w:rPr>
        <w:t>FALLO II</w:t>
      </w:r>
    </w:p>
    <w:p w14:paraId="0D7EC50E" w14:textId="77777777" w:rsidR="003C1B67" w:rsidRPr="003C1B67" w:rsidRDefault="003C1B67" w:rsidP="003C1B67">
      <w:pPr>
        <w:rPr>
          <w:b/>
          <w:bCs/>
        </w:rPr>
      </w:pPr>
      <w:r w:rsidRPr="003C1B67">
        <w:rPr>
          <w:b/>
          <w:bCs/>
        </w:rPr>
        <w:t>Autos, tribunal y fecha</w:t>
      </w:r>
    </w:p>
    <w:p w14:paraId="535A6C19" w14:textId="77777777" w:rsidR="003C1B67" w:rsidRPr="003C1B67" w:rsidRDefault="003C1B67" w:rsidP="003C1B67">
      <w:r w:rsidRPr="003C1B67">
        <w:rPr>
          <w:b/>
          <w:bCs/>
        </w:rPr>
        <w:t>Autos:</w:t>
      </w:r>
      <w:r w:rsidRPr="003C1B67">
        <w:t xml:space="preserve"> “Agencia de Recaudación y Control Aduanero s/recurso de casación”, causa </w:t>
      </w:r>
      <w:r w:rsidRPr="003C1B67">
        <w:rPr>
          <w:b/>
          <w:bCs/>
        </w:rPr>
        <w:t>FBB 6659/2017/TO1/36/CFC4</w:t>
      </w:r>
      <w:r w:rsidRPr="003C1B67">
        <w:t>, Registro N.º 868/26.4.</w:t>
      </w:r>
      <w:r w:rsidRPr="003C1B67">
        <w:br/>
      </w:r>
      <w:r w:rsidRPr="003C1B67">
        <w:rPr>
          <w:b/>
          <w:bCs/>
        </w:rPr>
        <w:t>Tribunal:</w:t>
      </w:r>
      <w:r w:rsidRPr="003C1B67">
        <w:t xml:space="preserve"> Cámara Federal de Casación Penal, </w:t>
      </w:r>
      <w:r w:rsidRPr="003C1B67">
        <w:rPr>
          <w:b/>
          <w:bCs/>
        </w:rPr>
        <w:t>Sala IV</w:t>
      </w:r>
      <w:r w:rsidRPr="003C1B67">
        <w:t xml:space="preserve">, integrada por los jueces </w:t>
      </w:r>
      <w:r w:rsidRPr="003C1B67">
        <w:rPr>
          <w:b/>
          <w:bCs/>
        </w:rPr>
        <w:t>Javier Carbajo, Mariano Hernán Borinsky y Gustavo M. Hornos</w:t>
      </w:r>
      <w:r w:rsidRPr="003C1B67">
        <w:t>.</w:t>
      </w:r>
      <w:r w:rsidRPr="003C1B67">
        <w:br/>
      </w:r>
      <w:r w:rsidRPr="003C1B67">
        <w:rPr>
          <w:b/>
          <w:bCs/>
        </w:rPr>
        <w:t>Fecha:</w:t>
      </w:r>
      <w:r w:rsidRPr="003C1B67">
        <w:t xml:space="preserve"> </w:t>
      </w:r>
      <w:r w:rsidRPr="003C1B67">
        <w:rPr>
          <w:b/>
          <w:bCs/>
        </w:rPr>
        <w:t>14 de julio de 2026</w:t>
      </w:r>
      <w:r w:rsidRPr="003C1B67">
        <w:t>.</w:t>
      </w:r>
    </w:p>
    <w:p w14:paraId="4EF1D5E5" w14:textId="77777777" w:rsidR="003C1B67" w:rsidRPr="003C1B67" w:rsidRDefault="003C1B67" w:rsidP="003C1B67">
      <w:r w:rsidRPr="003C1B67">
        <w:t xml:space="preserve">El pronunciamiento resuelve el recurso de casación interpuesto por </w:t>
      </w:r>
      <w:r w:rsidRPr="003C1B67">
        <w:rPr>
          <w:b/>
          <w:bCs/>
        </w:rPr>
        <w:t>ARCA, constituida como querellante</w:t>
      </w:r>
      <w:r w:rsidRPr="003C1B67">
        <w:t xml:space="preserve">, contra la decisión del Tribunal Oral en lo Criminal Federal de Bahía Blanca que había homologado un acuerdo de reparación integral respecto de </w:t>
      </w:r>
      <w:r w:rsidRPr="003C1B67">
        <w:rPr>
          <w:b/>
          <w:bCs/>
        </w:rPr>
        <w:t>Marcos Máximo Speier, Mauro Alfredo Sardiña y Eduardo Adolfo Milner</w:t>
      </w:r>
      <w:r w:rsidRPr="003C1B67">
        <w:t>, imputados por asociación ilícita fiscal.</w:t>
      </w:r>
    </w:p>
    <w:p w14:paraId="2EA791BA" w14:textId="77777777" w:rsidR="003C1B67" w:rsidRPr="003C1B67" w:rsidRDefault="003C1B67" w:rsidP="003C1B67">
      <w:pPr>
        <w:rPr>
          <w:b/>
          <w:bCs/>
        </w:rPr>
      </w:pPr>
      <w:r w:rsidRPr="003C1B67">
        <w:rPr>
          <w:b/>
          <w:bCs/>
        </w:rPr>
        <w:t>1. Antecedentes fácticos</w:t>
      </w:r>
    </w:p>
    <w:p w14:paraId="6D8E56BF" w14:textId="77777777" w:rsidR="003C1B67" w:rsidRPr="003C1B67" w:rsidRDefault="003C1B67" w:rsidP="003C1B67">
      <w:r w:rsidRPr="003C1B67">
        <w:t xml:space="preserve">Speier, Sardiña y Milner fueron requeridos a juicio por el Ministerio Público Fiscal y por ARCA por el delito previsto en el </w:t>
      </w:r>
      <w:r w:rsidRPr="003C1B67">
        <w:rPr>
          <w:b/>
          <w:bCs/>
        </w:rPr>
        <w:t>art. 15 inc. c) del Régimen Penal Tributario —ley 27.430—</w:t>
      </w:r>
      <w:r w:rsidRPr="003C1B67">
        <w:t xml:space="preserve">. A </w:t>
      </w:r>
      <w:r w:rsidRPr="003C1B67">
        <w:rPr>
          <w:b/>
          <w:bCs/>
        </w:rPr>
        <w:t>Speier</w:t>
      </w:r>
      <w:r w:rsidRPr="003C1B67">
        <w:t xml:space="preserve"> se le atribuyó la condición de </w:t>
      </w:r>
      <w:r w:rsidRPr="003C1B67">
        <w:rPr>
          <w:b/>
          <w:bCs/>
        </w:rPr>
        <w:t>jefe</w:t>
      </w:r>
      <w:r w:rsidRPr="003C1B67">
        <w:t xml:space="preserve"> de la asociación ilícita fiscal y a </w:t>
      </w:r>
      <w:r w:rsidRPr="003C1B67">
        <w:rPr>
          <w:b/>
          <w:bCs/>
        </w:rPr>
        <w:t>Sardiña y Milner</w:t>
      </w:r>
      <w:r w:rsidRPr="003C1B67">
        <w:t xml:space="preserve">, la de </w:t>
      </w:r>
      <w:r w:rsidRPr="003C1B67">
        <w:rPr>
          <w:b/>
          <w:bCs/>
        </w:rPr>
        <w:t>organizadores</w:t>
      </w:r>
      <w:r w:rsidRPr="003C1B67">
        <w:t>; la querella planteó subsidiariamente para estos últimos su carácter de miembros.</w:t>
      </w:r>
    </w:p>
    <w:p w14:paraId="08A2D6D9" w14:textId="77777777" w:rsidR="003C1B67" w:rsidRPr="003C1B67" w:rsidRDefault="003C1B67" w:rsidP="003C1B67">
      <w:r w:rsidRPr="003C1B67">
        <w:t xml:space="preserve">La organización habría estado integrada por tres o más personas y destinada a cometer habitualmente delitos fiscales. Según la acusación, los imputados habrían contribuido a la </w:t>
      </w:r>
      <w:r w:rsidRPr="003C1B67">
        <w:rPr>
          <w:b/>
          <w:bCs/>
        </w:rPr>
        <w:t>creación, mantenimiento y funcionamiento de al menos nueve sociedades</w:t>
      </w:r>
      <w:r w:rsidRPr="003C1B67">
        <w:t>, inscriptas fraudulentamente ante el INAES como cooperativas de trabajo. A través de ellas se habrían cometido, entre otros, delitos de evasión impositiva, obtención fraudulenta de beneficios fiscales, falsificación documental y falsedad ideológica.</w:t>
      </w:r>
    </w:p>
    <w:p w14:paraId="6A19073D" w14:textId="77777777" w:rsidR="003C1B67" w:rsidRPr="003C1B67" w:rsidRDefault="003C1B67" w:rsidP="003C1B67">
      <w:r w:rsidRPr="003C1B67">
        <w:t xml:space="preserve">La maniobra habría contado con el asesoramiento y soporte del </w:t>
      </w:r>
      <w:r w:rsidRPr="003C1B67">
        <w:rPr>
          <w:b/>
          <w:bCs/>
        </w:rPr>
        <w:t>estudio contable Speier</w:t>
      </w:r>
      <w:r w:rsidRPr="003C1B67">
        <w:t>, integrado por Speier y Sardiña, y con la actuación de Milner como consultor externo en materia de cooperativismo y mutualismo. Se les atribuía haber proporcionado habitualmente el soporte logístico y material necesario para que terceros contribuyentes evadieran impuestos, fundamentalmente ganancias y obligaciones vinculadas con la seguridad social.</w:t>
      </w:r>
    </w:p>
    <w:p w14:paraId="5D37A924" w14:textId="77777777" w:rsidR="003C1B67" w:rsidRPr="003C1B67" w:rsidRDefault="003C1B67" w:rsidP="003C1B67">
      <w:r w:rsidRPr="003C1B67">
        <w:lastRenderedPageBreak/>
        <w:t xml:space="preserve">En octubre de 2025 se produjo una circunstancia procesal determinante. Diversos coimputados y contribuyentes involucrados habían regularizado las obligaciones tributarias vinculadas con las evasiones investigadas mediante el régimen de la </w:t>
      </w:r>
      <w:r w:rsidRPr="003C1B67">
        <w:rPr>
          <w:b/>
          <w:bCs/>
        </w:rPr>
        <w:t>ley 27.743</w:t>
      </w:r>
      <w:r w:rsidRPr="003C1B67">
        <w:t>. Frente a ello, el Ministerio Público Fiscal consideró que respecto de Speier, Sardiña y Milner subsistía la imputación por asociación ilícita fiscal, figura que presentaba una lesividad adicional.</w:t>
      </w:r>
    </w:p>
    <w:p w14:paraId="3B60BF31" w14:textId="77777777" w:rsidR="003C1B67" w:rsidRPr="003C1B67" w:rsidRDefault="003C1B67" w:rsidP="003C1B67">
      <w:r w:rsidRPr="003C1B67">
        <w:t xml:space="preserve">La Fiscalía propuso entonces solucionar esa imputación mediante un </w:t>
      </w:r>
      <w:r w:rsidRPr="003C1B67">
        <w:rPr>
          <w:b/>
          <w:bCs/>
        </w:rPr>
        <w:t>acuerdo de reparación integral</w:t>
      </w:r>
      <w:r w:rsidRPr="003C1B67">
        <w:t>, conforme al art. 22 CPPF y al art. 59 inc. 6 CP. La propuesta consistía en las siguientes donaciones:</w:t>
      </w:r>
    </w:p>
    <w:p w14:paraId="099390F9" w14:textId="77777777" w:rsidR="003C1B67" w:rsidRPr="003C1B67" w:rsidRDefault="003C1B67" w:rsidP="00447176">
      <w:pPr>
        <w:numPr>
          <w:ilvl w:val="0"/>
          <w:numId w:val="2"/>
        </w:numPr>
      </w:pPr>
      <w:r w:rsidRPr="003C1B67">
        <w:rPr>
          <w:b/>
          <w:bCs/>
        </w:rPr>
        <w:t>Speier:</w:t>
      </w:r>
      <w:r w:rsidRPr="003C1B67">
        <w:t xml:space="preserve"> $2.500.000 a la Cooperadora del Hospital Interzonal Dr. José Penna.</w:t>
      </w:r>
    </w:p>
    <w:p w14:paraId="7D2D4F95" w14:textId="77777777" w:rsidR="003C1B67" w:rsidRPr="003C1B67" w:rsidRDefault="003C1B67" w:rsidP="00447176">
      <w:pPr>
        <w:numPr>
          <w:ilvl w:val="0"/>
          <w:numId w:val="2"/>
        </w:numPr>
      </w:pPr>
      <w:r w:rsidRPr="003C1B67">
        <w:rPr>
          <w:b/>
          <w:bCs/>
        </w:rPr>
        <w:t>Sardiña:</w:t>
      </w:r>
      <w:r w:rsidRPr="003C1B67">
        <w:t xml:space="preserve"> $2.000.000 al Instituto de Cuidado y Atención de Personas con Discapacidad.</w:t>
      </w:r>
    </w:p>
    <w:p w14:paraId="4E5310FF" w14:textId="77777777" w:rsidR="003C1B67" w:rsidRPr="003C1B67" w:rsidRDefault="003C1B67" w:rsidP="00447176">
      <w:pPr>
        <w:numPr>
          <w:ilvl w:val="0"/>
          <w:numId w:val="2"/>
        </w:numPr>
      </w:pPr>
      <w:r w:rsidRPr="003C1B67">
        <w:rPr>
          <w:b/>
          <w:bCs/>
        </w:rPr>
        <w:t>Milner:</w:t>
      </w:r>
      <w:r w:rsidRPr="003C1B67">
        <w:t xml:space="preserve"> $1.500.000 a la Cooperadora del Cuerpo de Bomberos Voluntarios de Bahía Blanca.</w:t>
      </w:r>
    </w:p>
    <w:p w14:paraId="63BFE8DE" w14:textId="77777777" w:rsidR="003C1B67" w:rsidRPr="003C1B67" w:rsidRDefault="003C1B67" w:rsidP="003C1B67">
      <w:r w:rsidRPr="003C1B67">
        <w:t xml:space="preserve">ARCA se opuso. Las defensas y los tres imputados prestaron conformidad. El </w:t>
      </w:r>
      <w:r w:rsidRPr="003C1B67">
        <w:rPr>
          <w:b/>
          <w:bCs/>
        </w:rPr>
        <w:t>Tribunal Oral en lo Criminal Federal de Bahía Blanca</w:t>
      </w:r>
      <w:r w:rsidRPr="003C1B67">
        <w:t xml:space="preserve">, actuando unipersonalmente, homologó el acuerdo el </w:t>
      </w:r>
      <w:r w:rsidRPr="003C1B67">
        <w:rPr>
          <w:b/>
          <w:bCs/>
        </w:rPr>
        <w:t>15 de octubre de 2025</w:t>
      </w:r>
      <w:r w:rsidRPr="003C1B67">
        <w:t>.</w:t>
      </w:r>
    </w:p>
    <w:p w14:paraId="54556B82" w14:textId="77777777" w:rsidR="003C1B67" w:rsidRPr="003C1B67" w:rsidRDefault="003C1B67" w:rsidP="003C1B67">
      <w:r w:rsidRPr="003C1B67">
        <w:t xml:space="preserve">El tribunal entendió que la asociación ilícita fiscal era susceptible de reparación integral, vinculó la solución con las </w:t>
      </w:r>
      <w:r w:rsidRPr="003C1B67">
        <w:rPr>
          <w:b/>
          <w:bCs/>
        </w:rPr>
        <w:t>Reglas de Tokio</w:t>
      </w:r>
      <w:r w:rsidRPr="003C1B67">
        <w:t xml:space="preserve"> y con la conveniencia de evitar la prisionización respecto de delitos de bajo impacto social, y caracterizó el delito imputado como de contenido esencialmente económico y patrimonial. Consideró además que la oposición de ARCA no era vinculante para el juzgador.</w:t>
      </w:r>
    </w:p>
    <w:p w14:paraId="6C0A326A" w14:textId="77777777" w:rsidR="003C1B67" w:rsidRPr="003C1B67" w:rsidRDefault="003C1B67" w:rsidP="003C1B67">
      <w:r w:rsidRPr="003C1B67">
        <w:t xml:space="preserve">Contra esa resolución </w:t>
      </w:r>
      <w:r w:rsidRPr="003C1B67">
        <w:rPr>
          <w:b/>
          <w:bCs/>
        </w:rPr>
        <w:t>ARCA interpuso recurso de casación</w:t>
      </w:r>
      <w:r w:rsidRPr="003C1B67">
        <w:t>.</w:t>
      </w:r>
    </w:p>
    <w:p w14:paraId="5E3D04B1" w14:textId="77777777" w:rsidR="003C1B67" w:rsidRPr="003C1B67" w:rsidRDefault="003770F1" w:rsidP="003C1B67">
      <w:r>
        <w:pict w14:anchorId="3A2DE389">
          <v:rect id="_x0000_i1030" style="width:0;height:1.5pt" o:hralign="center" o:hrstd="t" o:hr="t" fillcolor="#a0a0a0" stroked="f"/>
        </w:pict>
      </w:r>
    </w:p>
    <w:p w14:paraId="65E9E1A0" w14:textId="77777777" w:rsidR="003C1B67" w:rsidRPr="003C1B67" w:rsidRDefault="003C1B67" w:rsidP="003C1B67">
      <w:pPr>
        <w:rPr>
          <w:b/>
          <w:bCs/>
        </w:rPr>
      </w:pPr>
      <w:r w:rsidRPr="003C1B67">
        <w:rPr>
          <w:b/>
          <w:bCs/>
        </w:rPr>
        <w:t>2. Antecedentes y cuestiones jurídicas debatidas</w:t>
      </w:r>
    </w:p>
    <w:p w14:paraId="5881A378" w14:textId="77777777" w:rsidR="003C1B67" w:rsidRPr="003C1B67" w:rsidRDefault="003C1B67" w:rsidP="003C1B67">
      <w:r w:rsidRPr="003C1B67">
        <w:t xml:space="preserve">El núcleo jurídico del caso consiste en determinar </w:t>
      </w:r>
      <w:r w:rsidRPr="003C1B67">
        <w:rPr>
          <w:b/>
          <w:bCs/>
        </w:rPr>
        <w:t>si la reparación integral del art. 59 inc. 6 CP resulta aplicable al delito de asociación ilícita fiscal del art. 15 inc. c) del Régimen Penal Tributario</w:t>
      </w:r>
      <w:r w:rsidRPr="003C1B67">
        <w:t>.</w:t>
      </w:r>
    </w:p>
    <w:p w14:paraId="00692577" w14:textId="77777777" w:rsidR="003C1B67" w:rsidRPr="003C1B67" w:rsidRDefault="003C1B67" w:rsidP="003C1B67">
      <w:r w:rsidRPr="003C1B67">
        <w:t>La controversia presenta, en realidad, cuatro cuestiones diferenciadas:</w:t>
      </w:r>
    </w:p>
    <w:p w14:paraId="5CCEE4CD" w14:textId="77777777" w:rsidR="003C1B67" w:rsidRPr="003C1B67" w:rsidRDefault="003C1B67" w:rsidP="003C1B67">
      <w:r w:rsidRPr="003C1B67">
        <w:rPr>
          <w:b/>
          <w:bCs/>
        </w:rPr>
        <w:t>a) Relación entre el régimen general y el Régimen Penal Tributario.</w:t>
      </w:r>
      <w:r w:rsidRPr="003C1B67">
        <w:br/>
        <w:t xml:space="preserve">Se discute si el mecanismo especial de extinción previsto en el </w:t>
      </w:r>
      <w:r w:rsidRPr="003C1B67">
        <w:rPr>
          <w:b/>
          <w:bCs/>
        </w:rPr>
        <w:t>art. 16 del Régimen Penal Tributario</w:t>
      </w:r>
      <w:r w:rsidRPr="003C1B67">
        <w:t xml:space="preserve"> desplaza, por aplicación del principio de especialidad del art. 4 CP, a la reparación integral contemplada genéricamente por el art. 59 inc. 6 CP.</w:t>
      </w:r>
    </w:p>
    <w:p w14:paraId="082C6A83" w14:textId="77777777" w:rsidR="003C1B67" w:rsidRPr="003C1B67" w:rsidRDefault="003C1B67" w:rsidP="003C1B67">
      <w:r w:rsidRPr="003C1B67">
        <w:rPr>
          <w:b/>
          <w:bCs/>
        </w:rPr>
        <w:t>b) Naturaleza del bien jurídico.</w:t>
      </w:r>
      <w:r w:rsidRPr="003C1B67">
        <w:br/>
        <w:t xml:space="preserve">Se debate si la reparación integral puede utilizarse cuando el delito afecta un bien jurídico </w:t>
      </w:r>
      <w:r w:rsidRPr="003C1B67">
        <w:rPr>
          <w:b/>
          <w:bCs/>
        </w:rPr>
        <w:t>supraindividual</w:t>
      </w:r>
      <w:r w:rsidRPr="003C1B67">
        <w:t>, concretamente la Hacienda Pública y, según alguna de las posiciones, también el orden público.</w:t>
      </w:r>
    </w:p>
    <w:p w14:paraId="2AFEE3E1" w14:textId="77777777" w:rsidR="003C1B67" w:rsidRPr="003C1B67" w:rsidRDefault="003C1B67" w:rsidP="003C1B67">
      <w:r w:rsidRPr="003C1B67">
        <w:rPr>
          <w:b/>
          <w:bCs/>
        </w:rPr>
        <w:t>c) Naturaleza y gravedad de la asociación ilícita fiscal.</w:t>
      </w:r>
      <w:r w:rsidRPr="003C1B67">
        <w:br/>
        <w:t>Se cuestiona que el tribunal oral haya considerado a la asociación ilícita fiscal un delito de “bajo impacto social” y de contenido “meramente económico y patrimonial”.</w:t>
      </w:r>
    </w:p>
    <w:p w14:paraId="0F7902BC" w14:textId="77777777" w:rsidR="003C1B67" w:rsidRPr="003C1B67" w:rsidRDefault="003C1B67" w:rsidP="003C1B67">
      <w:r w:rsidRPr="003C1B67">
        <w:rPr>
          <w:b/>
          <w:bCs/>
        </w:rPr>
        <w:t>d) Integralidad de la reparación.</w:t>
      </w:r>
      <w:r w:rsidRPr="003C1B67">
        <w:br/>
        <w:t xml:space="preserve">Finalmente, se discute si las donaciones de $2,5 millones, $2 millones y $1,5 millones podían </w:t>
      </w:r>
      <w:r w:rsidRPr="003C1B67">
        <w:lastRenderedPageBreak/>
        <w:t xml:space="preserve">considerarse una verdadera </w:t>
      </w:r>
      <w:r w:rsidRPr="003C1B67">
        <w:rPr>
          <w:b/>
          <w:bCs/>
        </w:rPr>
        <w:t>“reparación integral”</w:t>
      </w:r>
      <w:r w:rsidRPr="003C1B67">
        <w:t>, teniendo en cuenta la magnitud económica de las maniobras investigadas.</w:t>
      </w:r>
    </w:p>
    <w:p w14:paraId="306AB187" w14:textId="77777777" w:rsidR="003C1B67" w:rsidRPr="003C1B67" w:rsidRDefault="003C1B67" w:rsidP="003C1B67">
      <w:r w:rsidRPr="003C1B67">
        <w:t xml:space="preserve">Estas cuestiones producen diferencias importantes entre los tres jueces de Casación, aun cuando </w:t>
      </w:r>
      <w:r w:rsidRPr="003C1B67">
        <w:rPr>
          <w:b/>
          <w:bCs/>
        </w:rPr>
        <w:t>todos coinciden en que el recurso de ARCA debe prosperar</w:t>
      </w:r>
      <w:r w:rsidRPr="003C1B67">
        <w:t>.</w:t>
      </w:r>
    </w:p>
    <w:p w14:paraId="0829499C" w14:textId="77777777" w:rsidR="003C1B67" w:rsidRPr="003C1B67" w:rsidRDefault="003C1B67" w:rsidP="003C1B67">
      <w:pPr>
        <w:rPr>
          <w:b/>
          <w:bCs/>
        </w:rPr>
      </w:pPr>
      <w:r w:rsidRPr="003C1B67">
        <w:rPr>
          <w:b/>
          <w:bCs/>
        </w:rPr>
        <w:t>3. Postura de la querella — ARCA</w:t>
      </w:r>
    </w:p>
    <w:p w14:paraId="32F996AD" w14:textId="77777777" w:rsidR="003C1B67" w:rsidRPr="003C1B67" w:rsidRDefault="003C1B67" w:rsidP="003C1B67">
      <w:r w:rsidRPr="003C1B67">
        <w:t xml:space="preserve">ARCA sostuvo, en primer lugar, la </w:t>
      </w:r>
      <w:r w:rsidRPr="003C1B67">
        <w:rPr>
          <w:b/>
          <w:bCs/>
        </w:rPr>
        <w:t>inaplicabilidad del art. 59 inc. 6 CP a los delitos tributarios</w:t>
      </w:r>
      <w:r w:rsidRPr="003C1B67">
        <w:t>. Su argumento central fue el principio de especialidad previsto en el art. 4 CP: el Régimen Penal Tributario contiene en su art. 16 un mecanismo específico para extinguir la acción penal mediante regularización, por lo que no correspondería acudir al régimen general del Código Penal.</w:t>
      </w:r>
    </w:p>
    <w:p w14:paraId="2C163CBF" w14:textId="77777777" w:rsidR="003C1B67" w:rsidRPr="003C1B67" w:rsidRDefault="003C1B67" w:rsidP="003C1B67">
      <w:r w:rsidRPr="003C1B67">
        <w:t>Destacó especialmente la secuencia legislativa: el actual art. 16 del Régimen Penal Tributario fue sancionado posteriormente a la incorporación del art. 59 inc. 6 CP. Para ARCA, ello demostraba la decisión legislativa de mantener un mecanismo especial y más restrictivo para los delitos tributarios.</w:t>
      </w:r>
    </w:p>
    <w:p w14:paraId="6C253351" w14:textId="77777777" w:rsidR="003C1B67" w:rsidRPr="003C1B67" w:rsidRDefault="003C1B67" w:rsidP="003C1B67">
      <w:r w:rsidRPr="003C1B67">
        <w:t xml:space="preserve">En segundo lugar, sostuvo que la </w:t>
      </w:r>
      <w:r w:rsidRPr="003C1B67">
        <w:rPr>
          <w:b/>
          <w:bCs/>
        </w:rPr>
        <w:t>asociación ilícita fiscal no podía ser considerada un delito de bajo impacto social ni meramente patrimonial</w:t>
      </w:r>
      <w:r w:rsidRPr="003C1B67">
        <w:t>. Se trata, según la querella, de un delito pluriofensivo que afecta no sólo la Hacienda Pública sino también el orden público.</w:t>
      </w:r>
    </w:p>
    <w:p w14:paraId="6A2E92A6" w14:textId="77777777" w:rsidR="003C1B67" w:rsidRPr="003C1B67" w:rsidRDefault="003C1B67" w:rsidP="003C1B67">
      <w:r w:rsidRPr="003C1B67">
        <w:t xml:space="preserve">En tercer lugar, cuestionó la propia posibilidad de reparar mediante dinero un daño referido a un </w:t>
      </w:r>
      <w:r w:rsidRPr="003C1B67">
        <w:rPr>
          <w:b/>
          <w:bCs/>
        </w:rPr>
        <w:t>bien jurídico supraindividual</w:t>
      </w:r>
      <w:r w:rsidRPr="003C1B67">
        <w:t>.</w:t>
      </w:r>
    </w:p>
    <w:p w14:paraId="17BCDD9F" w14:textId="77777777" w:rsidR="003C1B67" w:rsidRPr="003C1B67" w:rsidRDefault="003C1B67" w:rsidP="003C1B67">
      <w:r w:rsidRPr="003C1B67">
        <w:t xml:space="preserve">Finalmente, ARCA atacó concretamente la </w:t>
      </w:r>
      <w:r w:rsidRPr="003C1B67">
        <w:rPr>
          <w:b/>
          <w:bCs/>
        </w:rPr>
        <w:t>proporcionalidad e integralidad de las sumas acordadas</w:t>
      </w:r>
      <w:r w:rsidRPr="003C1B67">
        <w:t xml:space="preserve">. Señaló que el perjuicio fiscal correspondiente a los períodos 2013/2017, actualizado a la fecha de regularización, alcanzaba </w:t>
      </w:r>
      <w:r w:rsidRPr="003C1B67">
        <w:rPr>
          <w:b/>
          <w:bCs/>
        </w:rPr>
        <w:t>$374.938.920,37</w:t>
      </w:r>
      <w:r w:rsidRPr="003C1B67">
        <w:t xml:space="preserve">, mientras que las donaciones homologadas representaban apenas aproximadamente el </w:t>
      </w:r>
      <w:r w:rsidRPr="003C1B67">
        <w:rPr>
          <w:b/>
          <w:bCs/>
        </w:rPr>
        <w:t>1,60 %</w:t>
      </w:r>
      <w:r w:rsidRPr="003C1B67">
        <w:t xml:space="preserve"> de ese importe.</w:t>
      </w:r>
    </w:p>
    <w:p w14:paraId="438EE524" w14:textId="77777777" w:rsidR="003C1B67" w:rsidRPr="003C1B67" w:rsidRDefault="003C1B67" w:rsidP="003C1B67">
      <w:r w:rsidRPr="003C1B67">
        <w:t>Por ello, consideró que tanto el dictamen fiscal como la resolución del tribunal oral carecían de fundamentación suficiente para explicar por qué esas sumas podían considerarse una reparación “integral”.</w:t>
      </w:r>
    </w:p>
    <w:p w14:paraId="5BF981C0" w14:textId="77777777" w:rsidR="003C1B67" w:rsidRPr="003C1B67" w:rsidRDefault="003C1B67" w:rsidP="003C1B67">
      <w:pPr>
        <w:rPr>
          <w:b/>
          <w:bCs/>
        </w:rPr>
      </w:pPr>
      <w:r w:rsidRPr="003C1B67">
        <w:rPr>
          <w:b/>
          <w:bCs/>
        </w:rPr>
        <w:t>4. Postura del Ministerio Público Fiscal</w:t>
      </w:r>
    </w:p>
    <w:p w14:paraId="0DF37D44" w14:textId="77777777" w:rsidR="003C1B67" w:rsidRPr="003C1B67" w:rsidRDefault="003C1B67" w:rsidP="003C1B67">
      <w:r w:rsidRPr="003C1B67">
        <w:t xml:space="preserve">La posición fiscal fue </w:t>
      </w:r>
      <w:r w:rsidRPr="003C1B67">
        <w:rPr>
          <w:b/>
          <w:bCs/>
        </w:rPr>
        <w:t>favorable a la aplicación de la reparación integral</w:t>
      </w:r>
      <w:r w:rsidRPr="003C1B67">
        <w:t>.</w:t>
      </w:r>
    </w:p>
    <w:p w14:paraId="51195D5D" w14:textId="77777777" w:rsidR="003C1B67" w:rsidRPr="003C1B67" w:rsidRDefault="003C1B67" w:rsidP="003C1B67">
      <w:r w:rsidRPr="003C1B67">
        <w:t xml:space="preserve">La Fiscalía partió de que los contribuyentes vinculados con las evasiones habían regularizado las obligaciones tributarias correspondientes mediante el régimen legal aplicable. Sin embargo, entendió que la imputación autónoma por asociación ilícita fiscal contra Speier, Sardiña y Milner evidenciaba una </w:t>
      </w:r>
      <w:r w:rsidRPr="003C1B67">
        <w:rPr>
          <w:b/>
          <w:bCs/>
        </w:rPr>
        <w:t>mayor lesividad</w:t>
      </w:r>
      <w:r w:rsidRPr="003C1B67">
        <w:t>, que justificaba imponerles una reparación adicional.</w:t>
      </w:r>
    </w:p>
    <w:p w14:paraId="551F9373" w14:textId="77777777" w:rsidR="003C1B67" w:rsidRPr="003C1B67" w:rsidRDefault="003C1B67" w:rsidP="003C1B67">
      <w:r w:rsidRPr="003C1B67">
        <w:t xml:space="preserve">Sobre esa base propuso utilizar el mecanismo de justicia restaurativa contemplado por el </w:t>
      </w:r>
      <w:r w:rsidRPr="003C1B67">
        <w:rPr>
          <w:b/>
          <w:bCs/>
        </w:rPr>
        <w:t>art. 22 CPPF y el art. 59 inc. 6 CP</w:t>
      </w:r>
      <w:r w:rsidRPr="003C1B67">
        <w:t>, mediante donaciones destinadas a instituciones de bien público.</w:t>
      </w:r>
    </w:p>
    <w:p w14:paraId="37687460" w14:textId="77777777" w:rsidR="003C1B67" w:rsidRPr="003C1B67" w:rsidRDefault="003C1B67" w:rsidP="003C1B67">
      <w:r w:rsidRPr="003C1B67">
        <w:t xml:space="preserve">La lógica de la Fiscalía fue, entonces, que la combinación entre la </w:t>
      </w:r>
      <w:r w:rsidRPr="003C1B67">
        <w:rPr>
          <w:b/>
          <w:bCs/>
        </w:rPr>
        <w:t>regularización de las obligaciones tributarias</w:t>
      </w:r>
      <w:r w:rsidRPr="003C1B67">
        <w:t xml:space="preserve"> y las </w:t>
      </w:r>
      <w:r w:rsidRPr="003C1B67">
        <w:rPr>
          <w:b/>
          <w:bCs/>
        </w:rPr>
        <w:t>donaciones de los integrantes de la organización</w:t>
      </w:r>
      <w:r w:rsidRPr="003C1B67">
        <w:t xml:space="preserve"> constituía una solución apta para restablecer la armonía social y resolver el conflicto penal.</w:t>
      </w:r>
    </w:p>
    <w:p w14:paraId="3D45594C" w14:textId="77777777" w:rsidR="003C1B67" w:rsidRPr="003C1B67" w:rsidRDefault="003C1B67" w:rsidP="003C1B67">
      <w:r w:rsidRPr="003C1B67">
        <w:t xml:space="preserve">Es importante señalar que, en esta instancia, </w:t>
      </w:r>
      <w:r w:rsidRPr="003C1B67">
        <w:rPr>
          <w:b/>
          <w:bCs/>
        </w:rPr>
        <w:t>la Fiscalía no aparece como recurrente</w:t>
      </w:r>
      <w:r w:rsidRPr="003C1B67">
        <w:t>: el recurso de casación fue promovido por ARCA contra el acuerdo impulsado originalmente por el Ministerio Público Fiscal.</w:t>
      </w:r>
    </w:p>
    <w:p w14:paraId="287F8AF5" w14:textId="77777777" w:rsidR="003C1B67" w:rsidRPr="003C1B67" w:rsidRDefault="003C1B67" w:rsidP="003C1B67">
      <w:pPr>
        <w:rPr>
          <w:b/>
          <w:bCs/>
        </w:rPr>
      </w:pPr>
      <w:r w:rsidRPr="003C1B67">
        <w:rPr>
          <w:b/>
          <w:bCs/>
        </w:rPr>
        <w:lastRenderedPageBreak/>
        <w:t>5. Postura de las defensas</w:t>
      </w:r>
    </w:p>
    <w:p w14:paraId="4002A462" w14:textId="77777777" w:rsidR="003C1B67" w:rsidRPr="003C1B67" w:rsidRDefault="003C1B67" w:rsidP="003C1B67">
      <w:r w:rsidRPr="003C1B67">
        <w:t xml:space="preserve">Las defensas de Speier y Sardiña, por una parte, y de Milner, por otra, coincidieron sustancialmente y solicitaron el </w:t>
      </w:r>
      <w:r w:rsidRPr="003C1B67">
        <w:rPr>
          <w:b/>
          <w:bCs/>
        </w:rPr>
        <w:t>rechazo del recurso de ARCA</w:t>
      </w:r>
      <w:r w:rsidRPr="003C1B67">
        <w:t>.</w:t>
      </w:r>
    </w:p>
    <w:p w14:paraId="4069131A" w14:textId="77777777" w:rsidR="003C1B67" w:rsidRPr="003C1B67" w:rsidRDefault="003C1B67" w:rsidP="003C1B67">
      <w:r w:rsidRPr="003C1B67">
        <w:t xml:space="preserve">Consideraron </w:t>
      </w:r>
      <w:r w:rsidRPr="003C1B67">
        <w:rPr>
          <w:b/>
          <w:bCs/>
        </w:rPr>
        <w:t>dogmática y contra legem</w:t>
      </w:r>
      <w:r w:rsidRPr="003C1B67">
        <w:t xml:space="preserve"> la tesis según la cual la reparación integral sería inaplicable a los delitos tributarios. Sostuvieron que, aunque el Régimen Penal Tributario contemple en su art. 16 una causal específica de extinción por pago, </w:t>
      </w:r>
      <w:r w:rsidRPr="003C1B67">
        <w:rPr>
          <w:b/>
          <w:bCs/>
        </w:rPr>
        <w:t>ninguna norma establece que ese mecanismo sea exclusivo o excluyente</w:t>
      </w:r>
      <w:r w:rsidRPr="003C1B67">
        <w:t xml:space="preserve"> de las restantes causales de extinción de la acción penal contempladas en el ordenamiento.</w:t>
      </w:r>
    </w:p>
    <w:p w14:paraId="1A0E9B92" w14:textId="77777777" w:rsidR="003C1B67" w:rsidRPr="003C1B67" w:rsidRDefault="003C1B67" w:rsidP="003C1B67">
      <w:r w:rsidRPr="003C1B67">
        <w:t>También rechazaron que el carácter supraindividual de la Hacienda Pública impidiera por sí mismo la aplicación de la reparación integral.</w:t>
      </w:r>
    </w:p>
    <w:p w14:paraId="3D7302AF" w14:textId="77777777" w:rsidR="003C1B67" w:rsidRPr="003C1B67" w:rsidRDefault="003C1B67" w:rsidP="003C1B67">
      <w:r w:rsidRPr="003C1B67">
        <w:t xml:space="preserve">Respecto de la cuantificación del daño, sostuvieron que la </w:t>
      </w:r>
      <w:r w:rsidRPr="003C1B67">
        <w:rPr>
          <w:b/>
          <w:bCs/>
        </w:rPr>
        <w:t>asociación ilícita fiscal es un delito de peligro abstracto</w:t>
      </w:r>
      <w:r w:rsidRPr="003C1B67">
        <w:t>, por lo cual el daño derivado específicamente de esa figura no podría cuantificarse del modo pretendido por ARCA. Añadieron que los contribuyentes involucrados en las evasiones habían regularizado sus obligaciones tributarias, de manera que el perjuicio patrimonial a la Hacienda Pública ya había sido reparado.</w:t>
      </w:r>
    </w:p>
    <w:p w14:paraId="003ADAD4" w14:textId="77777777" w:rsidR="003C1B67" w:rsidRPr="003C1B67" w:rsidRDefault="003C1B67" w:rsidP="003C1B67">
      <w:r w:rsidRPr="003C1B67">
        <w:t>En consecuencia, las defensas entendieron que las donaciones propuestas por la Fiscalía constituían una reparación adicional válida y que correspondía confirmar la homologación.</w:t>
      </w:r>
    </w:p>
    <w:p w14:paraId="6CE9B607" w14:textId="77777777" w:rsidR="003C1B67" w:rsidRPr="003C1B67" w:rsidRDefault="003C1B67" w:rsidP="003C1B67">
      <w:pPr>
        <w:rPr>
          <w:b/>
          <w:bCs/>
        </w:rPr>
      </w:pPr>
      <w:r w:rsidRPr="003C1B67">
        <w:rPr>
          <w:b/>
          <w:bCs/>
        </w:rPr>
        <w:t>6. Voto de Javier Carbajo</w:t>
      </w:r>
    </w:p>
    <w:p w14:paraId="5CF92187" w14:textId="77777777" w:rsidR="003C1B67" w:rsidRPr="003C1B67" w:rsidRDefault="003C1B67" w:rsidP="003C1B67">
      <w:r w:rsidRPr="003C1B67">
        <w:t xml:space="preserve">El voto de </w:t>
      </w:r>
      <w:r w:rsidRPr="003C1B67">
        <w:rPr>
          <w:b/>
          <w:bCs/>
        </w:rPr>
        <w:t>Carbajo</w:t>
      </w:r>
      <w:r w:rsidRPr="003C1B67">
        <w:t xml:space="preserve"> es particularmente relevante porque adopta una posición intermedia: </w:t>
      </w:r>
      <w:r w:rsidRPr="003C1B67">
        <w:rPr>
          <w:b/>
          <w:bCs/>
        </w:rPr>
        <w:t>rechaza los principales argumentos generales de ARCA, pero termina haciendo lugar a su recurso por las circunstancias concretas del caso</w:t>
      </w:r>
      <w:r w:rsidRPr="003C1B67">
        <w:t>.</w:t>
      </w:r>
    </w:p>
    <w:p w14:paraId="5C88315A" w14:textId="77777777" w:rsidR="003C1B67" w:rsidRPr="003C1B67" w:rsidRDefault="003C1B67" w:rsidP="003C1B67">
      <w:pPr>
        <w:rPr>
          <w:b/>
          <w:bCs/>
        </w:rPr>
      </w:pPr>
      <w:r w:rsidRPr="003C1B67">
        <w:rPr>
          <w:b/>
          <w:bCs/>
        </w:rPr>
        <w:t>Aplicabilidad de la reparación integral a los delitos tributarios</w:t>
      </w:r>
    </w:p>
    <w:p w14:paraId="6FDA2674" w14:textId="77777777" w:rsidR="003C1B67" w:rsidRPr="003C1B67" w:rsidRDefault="003C1B67" w:rsidP="003C1B67">
      <w:r w:rsidRPr="003C1B67">
        <w:t xml:space="preserve">Carbajo considera que </w:t>
      </w:r>
      <w:r w:rsidRPr="003C1B67">
        <w:rPr>
          <w:b/>
          <w:bCs/>
        </w:rPr>
        <w:t>no existe una incompatibilidad normativa general</w:t>
      </w:r>
      <w:r w:rsidRPr="003C1B67">
        <w:t xml:space="preserve"> entre el art. 59 inc. 6 CP y el Régimen Penal Tributario.</w:t>
      </w:r>
    </w:p>
    <w:p w14:paraId="1F022B66" w14:textId="77777777" w:rsidR="003C1B67" w:rsidRPr="003C1B67" w:rsidRDefault="003C1B67" w:rsidP="003C1B67">
      <w:r w:rsidRPr="003C1B67">
        <w:t>Se remite a su posición en “Bianchetti” y sostiene que el mecanismo especial del art. 16 RPT y la reparación integral son institutos diferentes que pueden coexistir. Si el legislador hubiese querido excluir los delitos tributarios del art. 59 inc. 6 CP, habría podido establecerlo expresamente.</w:t>
      </w:r>
    </w:p>
    <w:p w14:paraId="3147BA41" w14:textId="77777777" w:rsidR="003C1B67" w:rsidRPr="003C1B67" w:rsidRDefault="003C1B67" w:rsidP="003C1B67">
      <w:r w:rsidRPr="003C1B67">
        <w:t xml:space="preserve">Para Carbajo, introducir judicialmente esa prohibición implicaría un </w:t>
      </w:r>
      <w:r w:rsidRPr="003C1B67">
        <w:rPr>
          <w:b/>
          <w:bCs/>
        </w:rPr>
        <w:t>endurecimiento del régimen penal no previsto legalmente</w:t>
      </w:r>
      <w:r w:rsidRPr="003C1B67">
        <w:t>, contrario a los principios de legalidad, ultima ratio y pro homine.</w:t>
      </w:r>
    </w:p>
    <w:p w14:paraId="27C10D0E" w14:textId="77777777" w:rsidR="003C1B67" w:rsidRPr="003C1B67" w:rsidRDefault="003C1B67" w:rsidP="003C1B67">
      <w:pPr>
        <w:rPr>
          <w:b/>
          <w:bCs/>
        </w:rPr>
      </w:pPr>
      <w:r w:rsidRPr="003C1B67">
        <w:rPr>
          <w:b/>
          <w:bCs/>
        </w:rPr>
        <w:t>Bien jurídico supraindividual</w:t>
      </w:r>
    </w:p>
    <w:p w14:paraId="341EA9D4" w14:textId="77777777" w:rsidR="003C1B67" w:rsidRPr="003C1B67" w:rsidRDefault="003C1B67" w:rsidP="003C1B67">
      <w:r w:rsidRPr="003C1B67">
        <w:t>También rechaza la tesis de que la mera afectación de un bien supraindividual determine automáticamente la improcedencia de la reparación integral.</w:t>
      </w:r>
    </w:p>
    <w:p w14:paraId="1765F865" w14:textId="77777777" w:rsidR="003C1B67" w:rsidRPr="003C1B67" w:rsidRDefault="003C1B67" w:rsidP="003C1B67">
      <w:r w:rsidRPr="003C1B67">
        <w:t xml:space="preserve">La cuestión debe analizarse </w:t>
      </w:r>
      <w:r w:rsidRPr="003C1B67">
        <w:rPr>
          <w:b/>
          <w:bCs/>
        </w:rPr>
        <w:t>caso por caso</w:t>
      </w:r>
      <w:r w:rsidRPr="003C1B67">
        <w:t>, ponderando los intereses públicos comprometidos y verificando si la reparación permite solucionar adecuadamente el conflicto.</w:t>
      </w:r>
    </w:p>
    <w:p w14:paraId="3DF6EE05" w14:textId="77777777" w:rsidR="003C1B67" w:rsidRPr="003C1B67" w:rsidRDefault="003C1B67" w:rsidP="003C1B67">
      <w:pPr>
        <w:rPr>
          <w:b/>
          <w:bCs/>
        </w:rPr>
      </w:pPr>
      <w:r w:rsidRPr="003C1B67">
        <w:rPr>
          <w:b/>
          <w:bCs/>
        </w:rPr>
        <w:t>Razón por la que admite el recurso de ARCA</w:t>
      </w:r>
    </w:p>
    <w:p w14:paraId="4515F98D" w14:textId="77777777" w:rsidR="003C1B67" w:rsidRPr="003C1B67" w:rsidRDefault="003C1B67" w:rsidP="003C1B67">
      <w:r w:rsidRPr="003C1B67">
        <w:t xml:space="preserve">Sin embargo, Carbajo considera que </w:t>
      </w:r>
      <w:r w:rsidRPr="003C1B67">
        <w:rPr>
          <w:b/>
          <w:bCs/>
        </w:rPr>
        <w:t>ARCA tiene razón respecto de la insuficiente fundamentación de la reparación concretamente homologada</w:t>
      </w:r>
      <w:r w:rsidRPr="003C1B67">
        <w:t>.</w:t>
      </w:r>
    </w:p>
    <w:p w14:paraId="771377DA" w14:textId="77777777" w:rsidR="003C1B67" w:rsidRPr="003C1B67" w:rsidRDefault="003C1B67" w:rsidP="003C1B67">
      <w:r w:rsidRPr="003C1B67">
        <w:lastRenderedPageBreak/>
        <w:t>El tribunal oral no explicó adecuadamente cómo las donaciones de entre $1,5 y $2,5 millones guardaban relación con la magnitud, gravedad y sofisticación de la asociación ilícita investigada ni con la intensidad de la afectación de la Hacienda Pública.</w:t>
      </w:r>
    </w:p>
    <w:p w14:paraId="40E9DA09" w14:textId="77777777" w:rsidR="003C1B67" w:rsidRPr="003C1B67" w:rsidRDefault="003C1B67" w:rsidP="003C1B67">
      <w:r w:rsidRPr="003C1B67">
        <w:t>Considera especialmente relevantes la intervención profesional atribuida a Speier, Sardiña y Milner, la sofisticación del mecanismo y la existencia de evasiones correspondientes a diferentes tributos y períodos por montos significativos.</w:t>
      </w:r>
    </w:p>
    <w:p w14:paraId="665E5E37" w14:textId="77777777" w:rsidR="003C1B67" w:rsidRPr="003C1B67" w:rsidRDefault="003C1B67" w:rsidP="003C1B67">
      <w:r w:rsidRPr="003C1B67">
        <w:t xml:space="preserve">La sentencia tampoco explicó la </w:t>
      </w:r>
      <w:r w:rsidRPr="003C1B67">
        <w:rPr>
          <w:b/>
          <w:bCs/>
        </w:rPr>
        <w:t>correlación entre los montos ofrecidos y el peligro ocasionado a la regularidad de los ingresos públicos</w:t>
      </w:r>
      <w:r w:rsidRPr="003C1B67">
        <w:t>, ni por qué las cantidades eran suficientes para configurar una reparación verdaderamente integral.</w:t>
      </w:r>
    </w:p>
    <w:p w14:paraId="4D5140BE" w14:textId="77777777" w:rsidR="003C1B67" w:rsidRPr="003C1B67" w:rsidRDefault="003C1B67" w:rsidP="003C1B67">
      <w:r w:rsidRPr="003C1B67">
        <w:t xml:space="preserve">Por ello concluye que la sentencia presenta una </w:t>
      </w:r>
      <w:r w:rsidRPr="003C1B67">
        <w:rPr>
          <w:b/>
          <w:bCs/>
        </w:rPr>
        <w:t>fundamentación meramente aparente</w:t>
      </w:r>
      <w:r w:rsidRPr="003C1B67">
        <w:t xml:space="preserve"> y resulta arbitraria, en violación del art. 123 CPPN.</w:t>
      </w:r>
    </w:p>
    <w:p w14:paraId="412D8DEB" w14:textId="77777777" w:rsidR="003C1B67" w:rsidRPr="003C1B67" w:rsidRDefault="003C1B67" w:rsidP="003C1B67">
      <w:r w:rsidRPr="003C1B67">
        <w:rPr>
          <w:b/>
          <w:bCs/>
        </w:rPr>
        <w:t>Voto de Carbajo:</w:t>
      </w:r>
      <w:r w:rsidRPr="003C1B67">
        <w:t xml:space="preserve"> hacer lugar al recurso de ARCA, </w:t>
      </w:r>
      <w:r w:rsidRPr="003C1B67">
        <w:rPr>
          <w:b/>
          <w:bCs/>
        </w:rPr>
        <w:t>anular</w:t>
      </w:r>
      <w:r w:rsidRPr="003C1B67">
        <w:t xml:space="preserve"> la resolución y remitir las actuaciones al tribunal de origen para que dicte una nueva decisión conforme a derecho, sin costas.</w:t>
      </w:r>
    </w:p>
    <w:p w14:paraId="0BAA427F" w14:textId="77777777" w:rsidR="003C1B67" w:rsidRPr="003C1B67" w:rsidRDefault="003C1B67" w:rsidP="003C1B67">
      <w:pPr>
        <w:rPr>
          <w:b/>
          <w:bCs/>
        </w:rPr>
      </w:pPr>
      <w:r w:rsidRPr="003C1B67">
        <w:rPr>
          <w:b/>
          <w:bCs/>
        </w:rPr>
        <w:t>7. Voto de Mariano Hernán Borinsky</w:t>
      </w:r>
    </w:p>
    <w:p w14:paraId="1DC5B89D" w14:textId="77777777" w:rsidR="003C1B67" w:rsidRPr="003C1B67" w:rsidRDefault="003C1B67" w:rsidP="003C1B67">
      <w:r w:rsidRPr="003C1B67">
        <w:rPr>
          <w:b/>
          <w:bCs/>
        </w:rPr>
        <w:t>Borinsky llega al mismo resultado que Carbajo, pero por un fundamento jurídico sustancialmente diferente.</w:t>
      </w:r>
    </w:p>
    <w:p w14:paraId="45481489" w14:textId="77777777" w:rsidR="003C1B67" w:rsidRPr="003C1B67" w:rsidRDefault="003C1B67" w:rsidP="003C1B67">
      <w:r w:rsidRPr="003C1B67">
        <w:t xml:space="preserve">Para Borinsky, </w:t>
      </w:r>
      <w:r w:rsidRPr="003C1B67">
        <w:rPr>
          <w:b/>
          <w:bCs/>
        </w:rPr>
        <w:t>sí existe incompatibilidad normativa entre la reparación integral del art. 59 inc. 6 CP y el régimen específico de extinción de la acción penal previsto para los delitos tributarios</w:t>
      </w:r>
      <w:r w:rsidRPr="003C1B67">
        <w:t>.</w:t>
      </w:r>
    </w:p>
    <w:p w14:paraId="794899C4" w14:textId="77777777" w:rsidR="003C1B67" w:rsidRPr="003C1B67" w:rsidRDefault="003C1B67" w:rsidP="003C1B67">
      <w:r w:rsidRPr="003C1B67">
        <w:t xml:space="preserve">Su razonamiento se apoya principalmente en el </w:t>
      </w:r>
      <w:r w:rsidRPr="003C1B67">
        <w:rPr>
          <w:b/>
          <w:bCs/>
        </w:rPr>
        <w:t>principio de especialidad</w:t>
      </w:r>
      <w:r w:rsidRPr="003C1B67">
        <w:t>.</w:t>
      </w:r>
    </w:p>
    <w:p w14:paraId="713FF7C6" w14:textId="77777777" w:rsidR="003C1B67" w:rsidRPr="003C1B67" w:rsidRDefault="003C1B67" w:rsidP="003C1B67">
      <w:r w:rsidRPr="003C1B67">
        <w:t xml:space="preserve">El art. 16 del Régimen Penal Tributario establece específicamente las condiciones bajo las cuales el pago puede producir efectos extintivos. Además, esa regulación es </w:t>
      </w:r>
      <w:r w:rsidRPr="003C1B67">
        <w:rPr>
          <w:b/>
          <w:bCs/>
        </w:rPr>
        <w:t>posterior</w:t>
      </w:r>
      <w:r w:rsidRPr="003C1B67">
        <w:t xml:space="preserve"> a la incorporación del inc. 6 del art. 59 CP. Para Borinsky, ello revela la voluntad legislativa de conservar un régimen especial y más restrictivo respecto de los delitos tributarios.</w:t>
      </w:r>
    </w:p>
    <w:p w14:paraId="3E1165A2" w14:textId="77777777" w:rsidR="003C1B67" w:rsidRPr="003C1B67" w:rsidRDefault="003C1B67" w:rsidP="003C1B67">
      <w:r w:rsidRPr="003C1B67">
        <w:t>Por lo tanto, no considera jurídicamente admisible utilizar el mecanismo general del art. 59 inc. 6 CP para eludir las condiciones impuestas por el régimen especial.</w:t>
      </w:r>
    </w:p>
    <w:p w14:paraId="3C74D7AF" w14:textId="77777777" w:rsidR="003C1B67" w:rsidRPr="003C1B67" w:rsidRDefault="003C1B67" w:rsidP="003C1B67">
      <w:r w:rsidRPr="003C1B67">
        <w:t xml:space="preserve">Aclara, sin embargo, que ello no impide la aplicación de </w:t>
      </w:r>
      <w:r w:rsidRPr="003C1B67">
        <w:rPr>
          <w:b/>
          <w:bCs/>
        </w:rPr>
        <w:t>otros mecanismos especiales de extinción específicamente previstos por el legislador</w:t>
      </w:r>
      <w:r w:rsidRPr="003C1B67">
        <w:t>, mencionando particularmente el art. 5 de la ley 27.743 y su reglamentación por el decreto 608/2024, siempre que concurran sus requisitos.</w:t>
      </w:r>
    </w:p>
    <w:p w14:paraId="69833AA0" w14:textId="77777777" w:rsidR="003C1B67" w:rsidRPr="003C1B67" w:rsidRDefault="003C1B67" w:rsidP="003C1B67">
      <w:r w:rsidRPr="003C1B67">
        <w:t xml:space="preserve">Para Borinsky, la sentencia recurrida no ponderó adecuadamente el art. 4 CP ni el principio de especialidad y, por ello, </w:t>
      </w:r>
      <w:r w:rsidRPr="003C1B67">
        <w:rPr>
          <w:b/>
          <w:bCs/>
        </w:rPr>
        <w:t>no constituye una derivación razonada del derecho vigente</w:t>
      </w:r>
      <w:r w:rsidRPr="003C1B67">
        <w:t>.</w:t>
      </w:r>
    </w:p>
    <w:p w14:paraId="6A6CF519" w14:textId="77777777" w:rsidR="003C1B67" w:rsidRPr="003C1B67" w:rsidRDefault="003C1B67" w:rsidP="003C1B67">
      <w:r w:rsidRPr="003C1B67">
        <w:rPr>
          <w:b/>
          <w:bCs/>
        </w:rPr>
        <w:t>Voto de Borinsky:</w:t>
      </w:r>
      <w:r w:rsidRPr="003C1B67">
        <w:t xml:space="preserve"> hacer lugar al recurso de ARCA, </w:t>
      </w:r>
      <w:r w:rsidRPr="003C1B67">
        <w:rPr>
          <w:b/>
          <w:bCs/>
        </w:rPr>
        <w:t>revocar</w:t>
      </w:r>
      <w:r w:rsidRPr="003C1B67">
        <w:t xml:space="preserve"> la decisión y remitir las actuaciones al tribunal de origen, sin costas.</w:t>
      </w:r>
    </w:p>
    <w:p w14:paraId="7103AC47" w14:textId="77777777" w:rsidR="003C1B67" w:rsidRPr="003C1B67" w:rsidRDefault="003C1B67" w:rsidP="003C1B67">
      <w:pPr>
        <w:rPr>
          <w:b/>
          <w:bCs/>
        </w:rPr>
      </w:pPr>
      <w:r w:rsidRPr="003C1B67">
        <w:rPr>
          <w:b/>
          <w:bCs/>
        </w:rPr>
        <w:t>8. Voto de Gustavo M. Hornos</w:t>
      </w:r>
    </w:p>
    <w:p w14:paraId="34F504B9" w14:textId="77777777" w:rsidR="003C1B67" w:rsidRPr="003C1B67" w:rsidRDefault="003C1B67" w:rsidP="003C1B67">
      <w:r w:rsidRPr="003C1B67">
        <w:rPr>
          <w:b/>
          <w:bCs/>
        </w:rPr>
        <w:t>Hornos coincide con Borinsky en la improcedencia de la reparación integral, pero construye su argumento principalmente desde la naturaleza del bien jurídico afectado.</w:t>
      </w:r>
    </w:p>
    <w:p w14:paraId="36C2FA76" w14:textId="77777777" w:rsidR="003C1B67" w:rsidRPr="003C1B67" w:rsidRDefault="003C1B67" w:rsidP="003C1B67">
      <w:r w:rsidRPr="003C1B67">
        <w:lastRenderedPageBreak/>
        <w:t>Sostiene que los mecanismos alternativos del art. 59 inc. 6 CP sólo resultan procedentes cuando permiten satisfacer integralmente los intereses de las personas afectadas y alcanzar las finalidades del proceso penal.</w:t>
      </w:r>
    </w:p>
    <w:p w14:paraId="710F3EC1" w14:textId="77777777" w:rsidR="003C1B67" w:rsidRPr="003C1B67" w:rsidRDefault="003C1B67" w:rsidP="003C1B67">
      <w:r w:rsidRPr="003C1B67">
        <w:t xml:space="preserve">Por ello, considera excluidos aquellos casos en los cuales </w:t>
      </w:r>
      <w:r w:rsidRPr="003C1B67">
        <w:rPr>
          <w:b/>
          <w:bCs/>
        </w:rPr>
        <w:t>el daño trasciende el interés individual de una víctima determinada y compromete bienes jurídicos supraindividuales</w:t>
      </w:r>
      <w:r w:rsidRPr="003C1B67">
        <w:t>.</w:t>
      </w:r>
    </w:p>
    <w:p w14:paraId="70E773A9" w14:textId="77777777" w:rsidR="003C1B67" w:rsidRPr="003C1B67" w:rsidRDefault="003C1B67" w:rsidP="003C1B67">
      <w:r w:rsidRPr="003C1B67">
        <w:t xml:space="preserve">Según Hornos, esto sucede precisamente con los delitos fiscales y contra la seguridad social, que afectan intereses colectivos, y con mayor razón con la </w:t>
      </w:r>
      <w:r w:rsidRPr="003C1B67">
        <w:rPr>
          <w:b/>
          <w:bCs/>
        </w:rPr>
        <w:t>asociación ilícita fiscal</w:t>
      </w:r>
      <w:r w:rsidRPr="003C1B67">
        <w:t xml:space="preserve">, que compromete tanto la </w:t>
      </w:r>
      <w:r w:rsidRPr="003C1B67">
        <w:rPr>
          <w:b/>
          <w:bCs/>
        </w:rPr>
        <w:t>Hacienda Pública como el orden público</w:t>
      </w:r>
      <w:r w:rsidRPr="003C1B67">
        <w:t>.</w:t>
      </w:r>
    </w:p>
    <w:p w14:paraId="7A4D1CD7" w14:textId="77777777" w:rsidR="003C1B67" w:rsidRPr="003C1B67" w:rsidRDefault="003C1B67" w:rsidP="003C1B67">
      <w:r w:rsidRPr="003C1B67">
        <w:t>Se remite a una extensa línea de precedentes propios en los que había sostenido esa interpretación.</w:t>
      </w:r>
    </w:p>
    <w:p w14:paraId="7B586D72" w14:textId="77777777" w:rsidR="003C1B67" w:rsidRPr="003C1B67" w:rsidRDefault="003C1B67" w:rsidP="003C1B67">
      <w:r w:rsidRPr="003C1B67">
        <w:rPr>
          <w:b/>
          <w:bCs/>
        </w:rPr>
        <w:t>Voto de Hornos:</w:t>
      </w:r>
      <w:r w:rsidRPr="003C1B67">
        <w:t xml:space="preserve"> adhiere a la solución de Borinsky y propone hacer lugar al recurso de ARCA, </w:t>
      </w:r>
      <w:r w:rsidRPr="003C1B67">
        <w:rPr>
          <w:b/>
          <w:bCs/>
        </w:rPr>
        <w:t>revocar</w:t>
      </w:r>
      <w:r w:rsidRPr="003C1B67">
        <w:t xml:space="preserve"> la decisión y remitir las actuaciones al tribunal de origen, sin costas.</w:t>
      </w:r>
    </w:p>
    <w:p w14:paraId="0A6BACAC" w14:textId="77777777" w:rsidR="003C1B67" w:rsidRPr="003C1B67" w:rsidRDefault="003C1B67" w:rsidP="003C1B67">
      <w:pPr>
        <w:rPr>
          <w:b/>
          <w:bCs/>
        </w:rPr>
      </w:pPr>
      <w:r w:rsidRPr="003C1B67">
        <w:rPr>
          <w:b/>
          <w:bCs/>
        </w:rPr>
        <w:t>9. Resolución y conformación de la mayoría</w:t>
      </w:r>
    </w:p>
    <w:p w14:paraId="5FCBF882" w14:textId="77777777" w:rsidR="003C1B67" w:rsidRPr="003C1B67" w:rsidRDefault="003C1B67" w:rsidP="003C1B67">
      <w:r w:rsidRPr="003C1B67">
        <w:t>La Sala IV resolvió:</w:t>
      </w:r>
    </w:p>
    <w:p w14:paraId="2F096BA5" w14:textId="77777777" w:rsidR="003C1B67" w:rsidRPr="003C1B67" w:rsidRDefault="003C1B67" w:rsidP="003C1B67">
      <w:r w:rsidRPr="003C1B67">
        <w:rPr>
          <w:b/>
          <w:bCs/>
        </w:rPr>
        <w:t>1. Hacer lugar al recurso de casación de ARCA.</w:t>
      </w:r>
    </w:p>
    <w:p w14:paraId="1773594F" w14:textId="77777777" w:rsidR="003C1B67" w:rsidRPr="003C1B67" w:rsidRDefault="003C1B67" w:rsidP="003C1B67">
      <w:r w:rsidRPr="003C1B67">
        <w:rPr>
          <w:b/>
          <w:bCs/>
        </w:rPr>
        <w:t>2. Por mayoría, revocar la decisión impugnada.</w:t>
      </w:r>
    </w:p>
    <w:p w14:paraId="3F35E04D" w14:textId="77777777" w:rsidR="003C1B67" w:rsidRPr="003C1B67" w:rsidRDefault="003C1B67" w:rsidP="003C1B67">
      <w:r w:rsidRPr="003C1B67">
        <w:rPr>
          <w:b/>
          <w:bCs/>
        </w:rPr>
        <w:t>3. Remitir las actuaciones al tribunal de origen.</w:t>
      </w:r>
    </w:p>
    <w:p w14:paraId="10EAB115" w14:textId="77777777" w:rsidR="003C1B67" w:rsidRPr="003C1B67" w:rsidRDefault="003C1B67" w:rsidP="003C1B67">
      <w:r w:rsidRPr="003C1B67">
        <w:rPr>
          <w:b/>
          <w:bCs/>
        </w:rPr>
        <w:t>4. Sin costas.</w:t>
      </w:r>
    </w:p>
    <w:p w14:paraId="16983492" w14:textId="77777777" w:rsidR="003C1B67" w:rsidRPr="003C1B67" w:rsidRDefault="003C1B67" w:rsidP="003C1B67">
      <w:r w:rsidRPr="003C1B67">
        <w:t xml:space="preserve">La precisión acerca de que la </w:t>
      </w:r>
      <w:r w:rsidRPr="003C1B67">
        <w:rPr>
          <w:b/>
          <w:bCs/>
        </w:rPr>
        <w:t>revocación se dispone “por mayoría”</w:t>
      </w:r>
      <w:r w:rsidRPr="003C1B67">
        <w:t xml:space="preserve"> es importante porque los tres magistrados coincidieron en que la resolución del Tribunal Oral no podía subsistir, pero </w:t>
      </w:r>
      <w:r w:rsidRPr="003C1B67">
        <w:rPr>
          <w:b/>
          <w:bCs/>
        </w:rPr>
        <w:t>no coincidieron en el fundamento ni exactamente en la consecuencia técnica</w:t>
      </w:r>
      <w:r w:rsidRPr="003C1B67">
        <w:t>.</w:t>
      </w:r>
    </w:p>
    <w:p w14:paraId="68257285" w14:textId="77777777" w:rsidR="003C1B67" w:rsidRPr="003C1B67" w:rsidRDefault="003C1B67" w:rsidP="003C1B67">
      <w:r w:rsidRPr="003C1B67">
        <w:t>La diferencia puede sintetizarse así:</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65"/>
        <w:gridCol w:w="2600"/>
        <w:gridCol w:w="3922"/>
        <w:gridCol w:w="1117"/>
      </w:tblGrid>
      <w:tr w:rsidR="003C1B67" w:rsidRPr="003C1B67" w14:paraId="0896F896" w14:textId="77777777" w:rsidTr="003C1B67">
        <w:trPr>
          <w:tblHeader/>
          <w:tblCellSpacing w:w="15" w:type="dxa"/>
        </w:trPr>
        <w:tc>
          <w:tcPr>
            <w:tcW w:w="0" w:type="auto"/>
            <w:vAlign w:val="center"/>
            <w:hideMark/>
          </w:tcPr>
          <w:p w14:paraId="7FA73BF8" w14:textId="77777777" w:rsidR="003C1B67" w:rsidRPr="003C1B67" w:rsidRDefault="003C1B67" w:rsidP="003C1B67">
            <w:pPr>
              <w:rPr>
                <w:b/>
                <w:bCs/>
              </w:rPr>
            </w:pPr>
            <w:r w:rsidRPr="003C1B67">
              <w:rPr>
                <w:b/>
                <w:bCs/>
              </w:rPr>
              <w:t>Juez</w:t>
            </w:r>
          </w:p>
        </w:tc>
        <w:tc>
          <w:tcPr>
            <w:tcW w:w="0" w:type="auto"/>
            <w:vAlign w:val="center"/>
            <w:hideMark/>
          </w:tcPr>
          <w:p w14:paraId="4DB48943" w14:textId="77777777" w:rsidR="003C1B67" w:rsidRPr="003C1B67" w:rsidRDefault="003C1B67" w:rsidP="003C1B67">
            <w:pPr>
              <w:rPr>
                <w:b/>
                <w:bCs/>
              </w:rPr>
            </w:pPr>
            <w:r w:rsidRPr="003C1B67">
              <w:rPr>
                <w:b/>
                <w:bCs/>
              </w:rPr>
              <w:t>¿Art. 59 inc. 6 CP puede aplicarse en general a delitos tributarios?</w:t>
            </w:r>
          </w:p>
        </w:tc>
        <w:tc>
          <w:tcPr>
            <w:tcW w:w="0" w:type="auto"/>
            <w:vAlign w:val="center"/>
            <w:hideMark/>
          </w:tcPr>
          <w:p w14:paraId="2202A609" w14:textId="77777777" w:rsidR="003C1B67" w:rsidRPr="003C1B67" w:rsidRDefault="003C1B67" w:rsidP="003C1B67">
            <w:pPr>
              <w:rPr>
                <w:b/>
                <w:bCs/>
              </w:rPr>
            </w:pPr>
            <w:r w:rsidRPr="003C1B67">
              <w:rPr>
                <w:b/>
                <w:bCs/>
              </w:rPr>
              <w:t>Fundamento determinante en el caso</w:t>
            </w:r>
          </w:p>
        </w:tc>
        <w:tc>
          <w:tcPr>
            <w:tcW w:w="0" w:type="auto"/>
            <w:vAlign w:val="center"/>
            <w:hideMark/>
          </w:tcPr>
          <w:p w14:paraId="5AA860D0" w14:textId="77777777" w:rsidR="003C1B67" w:rsidRPr="003C1B67" w:rsidRDefault="003C1B67" w:rsidP="003C1B67">
            <w:pPr>
              <w:rPr>
                <w:b/>
                <w:bCs/>
              </w:rPr>
            </w:pPr>
            <w:r w:rsidRPr="003C1B67">
              <w:rPr>
                <w:b/>
                <w:bCs/>
              </w:rPr>
              <w:t>Solución</w:t>
            </w:r>
          </w:p>
        </w:tc>
      </w:tr>
      <w:tr w:rsidR="003C1B67" w:rsidRPr="003C1B67" w14:paraId="1ACAE169" w14:textId="77777777" w:rsidTr="003C1B67">
        <w:trPr>
          <w:tblCellSpacing w:w="15" w:type="dxa"/>
        </w:trPr>
        <w:tc>
          <w:tcPr>
            <w:tcW w:w="0" w:type="auto"/>
            <w:vAlign w:val="center"/>
            <w:hideMark/>
          </w:tcPr>
          <w:p w14:paraId="22CB50FC" w14:textId="77777777" w:rsidR="003C1B67" w:rsidRPr="003C1B67" w:rsidRDefault="003C1B67" w:rsidP="003C1B67">
            <w:r w:rsidRPr="003C1B67">
              <w:rPr>
                <w:b/>
                <w:bCs/>
              </w:rPr>
              <w:t>Carbajo</w:t>
            </w:r>
          </w:p>
        </w:tc>
        <w:tc>
          <w:tcPr>
            <w:tcW w:w="0" w:type="auto"/>
            <w:vAlign w:val="center"/>
            <w:hideMark/>
          </w:tcPr>
          <w:p w14:paraId="6CEE99C1" w14:textId="77777777" w:rsidR="003C1B67" w:rsidRPr="003C1B67" w:rsidRDefault="003C1B67" w:rsidP="003C1B67">
            <w:r w:rsidRPr="003C1B67">
              <w:rPr>
                <w:b/>
                <w:bCs/>
              </w:rPr>
              <w:t>Sí, en principio</w:t>
            </w:r>
          </w:p>
        </w:tc>
        <w:tc>
          <w:tcPr>
            <w:tcW w:w="0" w:type="auto"/>
            <w:vAlign w:val="center"/>
            <w:hideMark/>
          </w:tcPr>
          <w:p w14:paraId="188D6286" w14:textId="77777777" w:rsidR="003C1B67" w:rsidRPr="003C1B67" w:rsidRDefault="003C1B67" w:rsidP="003C1B67">
            <w:r w:rsidRPr="003C1B67">
              <w:t>La reparación concreta carecía de fundamentación suficiente sobre su integralidad y proporcionalidad</w:t>
            </w:r>
          </w:p>
        </w:tc>
        <w:tc>
          <w:tcPr>
            <w:tcW w:w="0" w:type="auto"/>
            <w:vAlign w:val="center"/>
            <w:hideMark/>
          </w:tcPr>
          <w:p w14:paraId="03096741" w14:textId="77777777" w:rsidR="003C1B67" w:rsidRPr="003C1B67" w:rsidRDefault="003C1B67" w:rsidP="003C1B67">
            <w:r w:rsidRPr="003C1B67">
              <w:t>Anular y reenviar</w:t>
            </w:r>
          </w:p>
        </w:tc>
      </w:tr>
      <w:tr w:rsidR="003C1B67" w:rsidRPr="003C1B67" w14:paraId="0A93C0CC" w14:textId="77777777" w:rsidTr="003C1B67">
        <w:trPr>
          <w:tblCellSpacing w:w="15" w:type="dxa"/>
        </w:trPr>
        <w:tc>
          <w:tcPr>
            <w:tcW w:w="0" w:type="auto"/>
            <w:vAlign w:val="center"/>
            <w:hideMark/>
          </w:tcPr>
          <w:p w14:paraId="743646D8" w14:textId="77777777" w:rsidR="003C1B67" w:rsidRPr="003C1B67" w:rsidRDefault="003C1B67" w:rsidP="003C1B67">
            <w:r w:rsidRPr="003C1B67">
              <w:rPr>
                <w:b/>
                <w:bCs/>
              </w:rPr>
              <w:t>Borinsky</w:t>
            </w:r>
          </w:p>
        </w:tc>
        <w:tc>
          <w:tcPr>
            <w:tcW w:w="0" w:type="auto"/>
            <w:vAlign w:val="center"/>
            <w:hideMark/>
          </w:tcPr>
          <w:p w14:paraId="6148CB2C" w14:textId="77777777" w:rsidR="003C1B67" w:rsidRPr="003C1B67" w:rsidRDefault="003C1B67" w:rsidP="003C1B67">
            <w:r w:rsidRPr="003C1B67">
              <w:rPr>
                <w:b/>
                <w:bCs/>
              </w:rPr>
              <w:t>No</w:t>
            </w:r>
          </w:p>
        </w:tc>
        <w:tc>
          <w:tcPr>
            <w:tcW w:w="0" w:type="auto"/>
            <w:vAlign w:val="center"/>
            <w:hideMark/>
          </w:tcPr>
          <w:p w14:paraId="40A736D1" w14:textId="77777777" w:rsidR="003C1B67" w:rsidRPr="003C1B67" w:rsidRDefault="003C1B67" w:rsidP="003C1B67">
            <w:r w:rsidRPr="003C1B67">
              <w:t>Principio de especialidad: prevalece el régimen específico de extinción del RPT</w:t>
            </w:r>
          </w:p>
        </w:tc>
        <w:tc>
          <w:tcPr>
            <w:tcW w:w="0" w:type="auto"/>
            <w:vAlign w:val="center"/>
            <w:hideMark/>
          </w:tcPr>
          <w:p w14:paraId="69EED5FA" w14:textId="77777777" w:rsidR="003C1B67" w:rsidRPr="003C1B67" w:rsidRDefault="003C1B67" w:rsidP="003C1B67">
            <w:r w:rsidRPr="003C1B67">
              <w:t>Revocar y reenviar</w:t>
            </w:r>
          </w:p>
        </w:tc>
      </w:tr>
      <w:tr w:rsidR="003C1B67" w:rsidRPr="003C1B67" w14:paraId="691E558F" w14:textId="77777777" w:rsidTr="003C1B67">
        <w:trPr>
          <w:tblCellSpacing w:w="15" w:type="dxa"/>
        </w:trPr>
        <w:tc>
          <w:tcPr>
            <w:tcW w:w="0" w:type="auto"/>
            <w:vAlign w:val="center"/>
            <w:hideMark/>
          </w:tcPr>
          <w:p w14:paraId="615817F1" w14:textId="77777777" w:rsidR="003C1B67" w:rsidRPr="003C1B67" w:rsidRDefault="003C1B67" w:rsidP="003C1B67">
            <w:r w:rsidRPr="003C1B67">
              <w:rPr>
                <w:b/>
                <w:bCs/>
              </w:rPr>
              <w:t>Hornos</w:t>
            </w:r>
          </w:p>
        </w:tc>
        <w:tc>
          <w:tcPr>
            <w:tcW w:w="0" w:type="auto"/>
            <w:vAlign w:val="center"/>
            <w:hideMark/>
          </w:tcPr>
          <w:p w14:paraId="0B9B5D7C" w14:textId="77777777" w:rsidR="003C1B67" w:rsidRPr="003C1B67" w:rsidRDefault="003C1B67" w:rsidP="003C1B67">
            <w:r w:rsidRPr="003C1B67">
              <w:rPr>
                <w:b/>
                <w:bCs/>
              </w:rPr>
              <w:t>No respecto de esta clase de delitos</w:t>
            </w:r>
          </w:p>
        </w:tc>
        <w:tc>
          <w:tcPr>
            <w:tcW w:w="0" w:type="auto"/>
            <w:vAlign w:val="center"/>
            <w:hideMark/>
          </w:tcPr>
          <w:p w14:paraId="625E04DC" w14:textId="77777777" w:rsidR="003C1B67" w:rsidRPr="003C1B67" w:rsidRDefault="003C1B67" w:rsidP="003C1B67">
            <w:r w:rsidRPr="003C1B67">
              <w:t>Afectación de bienes jurídicos supraindividuales: Hacienda Pública y orden público</w:t>
            </w:r>
          </w:p>
        </w:tc>
        <w:tc>
          <w:tcPr>
            <w:tcW w:w="0" w:type="auto"/>
            <w:vAlign w:val="center"/>
            <w:hideMark/>
          </w:tcPr>
          <w:p w14:paraId="4BED4935" w14:textId="77777777" w:rsidR="003C1B67" w:rsidRPr="003C1B67" w:rsidRDefault="003C1B67" w:rsidP="003C1B67">
            <w:r w:rsidRPr="003C1B67">
              <w:t>Revocar y reenviar</w:t>
            </w:r>
          </w:p>
        </w:tc>
      </w:tr>
    </w:tbl>
    <w:p w14:paraId="4BC550F3" w14:textId="77777777" w:rsidR="003C1B67" w:rsidRPr="003C1B67" w:rsidRDefault="003C1B67" w:rsidP="003C1B67">
      <w:r w:rsidRPr="003C1B67">
        <w:t xml:space="preserve">En consecuencia, la </w:t>
      </w:r>
      <w:r w:rsidRPr="003C1B67">
        <w:rPr>
          <w:b/>
          <w:bCs/>
        </w:rPr>
        <w:t>mayoría sustancial Borinsky-Hornos</w:t>
      </w:r>
      <w:r w:rsidRPr="003C1B67">
        <w:t xml:space="preserve"> establece que la reparación integral del art. 59 inc. 6 CP </w:t>
      </w:r>
      <w:r w:rsidRPr="003C1B67">
        <w:rPr>
          <w:b/>
          <w:bCs/>
        </w:rPr>
        <w:t>no resulta procedente frente a la asociación ilícita fiscal</w:t>
      </w:r>
      <w:r w:rsidRPr="003C1B67">
        <w:t xml:space="preserve">, aunque ambos llegan a esa conclusión poniendo el acento en fundamentos parcialmente diferentes. Carbajo, en cambio, </w:t>
      </w:r>
      <w:r w:rsidRPr="003C1B67">
        <w:rPr>
          <w:b/>
          <w:bCs/>
        </w:rPr>
        <w:t>no comparte esa exclusión general</w:t>
      </w:r>
      <w:r w:rsidRPr="003C1B67">
        <w:t xml:space="preserve">: admite conceptualmente la posibilidad de aplicar la reparación integral a delitos tributarios, pero considera inválida la homologación </w:t>
      </w:r>
      <w:r w:rsidRPr="003C1B67">
        <w:lastRenderedPageBreak/>
        <w:t xml:space="preserve">efectuada en este caso por no demostrar que las sumas ofrecidas constituyeran una reparación verdaderamente integral. Esta diferencia explica que el dispositivo final haga lugar al recurso por unanimidad, pero disponga </w:t>
      </w:r>
      <w:r w:rsidRPr="003C1B67">
        <w:rPr>
          <w:b/>
          <w:bCs/>
        </w:rPr>
        <w:t>“por mayoría” la revocación</w:t>
      </w:r>
      <w:r w:rsidRPr="003C1B67">
        <w:t xml:space="preserve"> de la resolución recurrida.</w:t>
      </w:r>
    </w:p>
    <w:p w14:paraId="65B02E08" w14:textId="2E956675" w:rsidR="003C1B67" w:rsidRDefault="003C1B67" w:rsidP="00A245F2"/>
    <w:p w14:paraId="3488742A" w14:textId="3BCD3022" w:rsidR="00F95E26" w:rsidRPr="003770F1" w:rsidRDefault="00F95E26" w:rsidP="00A245F2">
      <w:pPr>
        <w:rPr>
          <w:b/>
          <w:bCs/>
          <w:u w:val="single"/>
        </w:rPr>
      </w:pPr>
      <w:r w:rsidRPr="003770F1">
        <w:rPr>
          <w:b/>
          <w:bCs/>
          <w:u w:val="single"/>
        </w:rPr>
        <w:t>FALLO III</w:t>
      </w:r>
    </w:p>
    <w:p w14:paraId="40D8A85D" w14:textId="77777777" w:rsidR="00F95E26" w:rsidRPr="00F95E26" w:rsidRDefault="00F95E26" w:rsidP="00F95E26">
      <w:pPr>
        <w:rPr>
          <w:b/>
          <w:bCs/>
        </w:rPr>
      </w:pPr>
      <w:r w:rsidRPr="00F95E26">
        <w:rPr>
          <w:b/>
          <w:bCs/>
        </w:rPr>
        <w:t>Autos, tribunal y fecha</w:t>
      </w:r>
    </w:p>
    <w:p w14:paraId="52BFD944" w14:textId="77777777" w:rsidR="00F95E26" w:rsidRPr="00F95E26" w:rsidRDefault="00F95E26" w:rsidP="00F95E26">
      <w:r w:rsidRPr="00F95E26">
        <w:rPr>
          <w:b/>
          <w:bCs/>
        </w:rPr>
        <w:t>Autos:</w:t>
      </w:r>
      <w:r w:rsidRPr="00F95E26">
        <w:t xml:space="preserve"> “Gamen, Horacio Alberto y otro s/ Insolvencia Fiscal Fraudulenta”, causa </w:t>
      </w:r>
      <w:r w:rsidRPr="00F95E26">
        <w:rPr>
          <w:b/>
          <w:bCs/>
        </w:rPr>
        <w:t>FGR 3303/2016/TO01</w:t>
      </w:r>
      <w:r w:rsidRPr="00F95E26">
        <w:t>.</w:t>
      </w:r>
      <w:r w:rsidRPr="00F95E26">
        <w:br/>
      </w:r>
      <w:r w:rsidRPr="00F95E26">
        <w:rPr>
          <w:b/>
          <w:bCs/>
        </w:rPr>
        <w:t>Tribunal:</w:t>
      </w:r>
      <w:r w:rsidRPr="00F95E26">
        <w:t xml:space="preserve"> </w:t>
      </w:r>
      <w:r w:rsidRPr="00F95E26">
        <w:rPr>
          <w:b/>
          <w:bCs/>
        </w:rPr>
        <w:t>Tribunal Oral Federal de General Roca</w:t>
      </w:r>
      <w:r w:rsidRPr="00F95E26">
        <w:t xml:space="preserve">, actuando de modo </w:t>
      </w:r>
      <w:r w:rsidRPr="00F95E26">
        <w:rPr>
          <w:b/>
          <w:bCs/>
        </w:rPr>
        <w:t>unipersonal</w:t>
      </w:r>
      <w:r w:rsidRPr="00F95E26">
        <w:t xml:space="preserve"> por el juez subrogante </w:t>
      </w:r>
      <w:r w:rsidRPr="00F95E26">
        <w:rPr>
          <w:b/>
          <w:bCs/>
        </w:rPr>
        <w:t>Marcos Javier Aguerrido</w:t>
      </w:r>
      <w:r w:rsidRPr="00F95E26">
        <w:t>.</w:t>
      </w:r>
      <w:r w:rsidRPr="00F95E26">
        <w:br/>
      </w:r>
      <w:r w:rsidRPr="00F95E26">
        <w:rPr>
          <w:b/>
          <w:bCs/>
        </w:rPr>
        <w:t>Fecha:</w:t>
      </w:r>
      <w:r w:rsidRPr="00F95E26">
        <w:t xml:space="preserve"> </w:t>
      </w:r>
      <w:r w:rsidRPr="00F95E26">
        <w:rPr>
          <w:b/>
          <w:bCs/>
        </w:rPr>
        <w:t>25 de junio de 2026</w:t>
      </w:r>
      <w:r w:rsidRPr="00F95E26">
        <w:t>.</w:t>
      </w:r>
    </w:p>
    <w:p w14:paraId="24FEEB9C" w14:textId="77777777" w:rsidR="00F95E26" w:rsidRPr="00F95E26" w:rsidRDefault="00F95E26" w:rsidP="00F95E26">
      <w:r w:rsidRPr="00F95E26">
        <w:t xml:space="preserve">El pronunciamiento resuelve el pedido de sobreseimiento formulado por las defensas de </w:t>
      </w:r>
      <w:r w:rsidRPr="00F95E26">
        <w:rPr>
          <w:b/>
          <w:bCs/>
        </w:rPr>
        <w:t>Horacio Alberto Gamen y Héctor Efraím Gamen</w:t>
      </w:r>
      <w:r w:rsidRPr="00F95E26">
        <w:t xml:space="preserve">, imputados por el delito de </w:t>
      </w:r>
      <w:r w:rsidRPr="00F95E26">
        <w:rPr>
          <w:b/>
          <w:bCs/>
        </w:rPr>
        <w:t>insolvencia fiscal fraudulenta</w:t>
      </w:r>
      <w:r w:rsidRPr="00F95E26">
        <w:t xml:space="preserve"> previsto en el art. 9 del Régimen Penal Tributario.</w:t>
      </w:r>
    </w:p>
    <w:p w14:paraId="62A17458" w14:textId="77777777" w:rsidR="00F95E26" w:rsidRPr="00F95E26" w:rsidRDefault="00F95E26" w:rsidP="00F95E26">
      <w:pPr>
        <w:rPr>
          <w:b/>
          <w:bCs/>
        </w:rPr>
      </w:pPr>
      <w:r w:rsidRPr="00F95E26">
        <w:rPr>
          <w:b/>
          <w:bCs/>
        </w:rPr>
        <w:t>1. Antecedentes fácticos</w:t>
      </w:r>
    </w:p>
    <w:p w14:paraId="66F94868" w14:textId="77777777" w:rsidR="00F95E26" w:rsidRPr="00F95E26" w:rsidRDefault="00F95E26" w:rsidP="00F95E26">
      <w:r w:rsidRPr="00F95E26">
        <w:t xml:space="preserve">Según los requerimientos de elevación a juicio, a los hermanos Gamen se les atribuyó haber </w:t>
      </w:r>
      <w:r w:rsidRPr="00F95E26">
        <w:rPr>
          <w:b/>
          <w:bCs/>
        </w:rPr>
        <w:t>agravado la insolvencia de Sprint S.R.L.</w:t>
      </w:r>
      <w:r w:rsidRPr="00F95E26">
        <w:t xml:space="preserve"> mediante el desvío sistemático, entre los años </w:t>
      </w:r>
      <w:r w:rsidRPr="00F95E26">
        <w:rPr>
          <w:b/>
          <w:bCs/>
        </w:rPr>
        <w:t>2011 y 2015</w:t>
      </w:r>
      <w:r w:rsidRPr="00F95E26">
        <w:t>, de fondos provenientes de ventas efectuadas con tarjetas de crédito y débito hacia una caja de ahorro personal.</w:t>
      </w:r>
    </w:p>
    <w:p w14:paraId="045BA1F7" w14:textId="77777777" w:rsidR="00F95E26" w:rsidRPr="00F95E26" w:rsidRDefault="00F95E26" w:rsidP="00F95E26">
      <w:r w:rsidRPr="00F95E26">
        <w:t xml:space="preserve">La maniobra de despatrimonialización habría alcanzado un total de </w:t>
      </w:r>
      <w:r w:rsidRPr="00F95E26">
        <w:rPr>
          <w:b/>
          <w:bCs/>
        </w:rPr>
        <w:t>$9.526.389,57</w:t>
      </w:r>
      <w:r w:rsidRPr="00F95E26">
        <w:t xml:space="preserve"> y habría tenido como finalidad frustrar el cobro de obligaciones tributarias que la entonces AFIP pretendía percibir por un total de </w:t>
      </w:r>
      <w:r w:rsidRPr="00F95E26">
        <w:rPr>
          <w:b/>
          <w:bCs/>
        </w:rPr>
        <w:t>$3.371.879,20</w:t>
      </w:r>
      <w:r w:rsidRPr="00F95E26">
        <w:t>.</w:t>
      </w:r>
    </w:p>
    <w:p w14:paraId="4A612E96" w14:textId="77777777" w:rsidR="00F95E26" w:rsidRPr="00F95E26" w:rsidRDefault="00F95E26" w:rsidP="00F95E26">
      <w:r w:rsidRPr="00F95E26">
        <w:t xml:space="preserve">Un aspecto central destacado por el juez es que el requerimiento de elevación a juicio </w:t>
      </w:r>
      <w:r w:rsidRPr="00F95E26">
        <w:rPr>
          <w:b/>
          <w:bCs/>
        </w:rPr>
        <w:t>no formuló una acusación por concurso material entre evasión fiscal e insolvencia fraudulenta</w:t>
      </w:r>
      <w:r w:rsidRPr="00F95E26">
        <w:t>. La imputación se circunscribió exclusivamente al art. 9 del Régimen Penal Tributario y se sustentó en la existencia de procedimientos administrativos y judiciales de cobro que los imputados conocían previamente.</w:t>
      </w:r>
    </w:p>
    <w:p w14:paraId="0D4510A1" w14:textId="77777777" w:rsidR="00F95E26" w:rsidRPr="00F95E26" w:rsidRDefault="00F95E26" w:rsidP="00F95E26">
      <w:pPr>
        <w:rPr>
          <w:b/>
          <w:bCs/>
        </w:rPr>
      </w:pPr>
      <w:r w:rsidRPr="00F95E26">
        <w:rPr>
          <w:b/>
          <w:bCs/>
        </w:rPr>
        <w:t>2. Planteo jurídico de la defensa</w:t>
      </w:r>
    </w:p>
    <w:p w14:paraId="2D9BA5B0" w14:textId="77777777" w:rsidR="00F95E26" w:rsidRPr="00F95E26" w:rsidRDefault="00F95E26" w:rsidP="00F95E26">
      <w:r w:rsidRPr="00F95E26">
        <w:t xml:space="preserve">Las defensas solicitaron el sobreseimiento a partir de la entrada en vigencia de la </w:t>
      </w:r>
      <w:r w:rsidRPr="00F95E26">
        <w:rPr>
          <w:b/>
          <w:bCs/>
        </w:rPr>
        <w:t>ley 27.799</w:t>
      </w:r>
      <w:r w:rsidRPr="00F95E26">
        <w:t>.</w:t>
      </w:r>
    </w:p>
    <w:p w14:paraId="4730296D" w14:textId="77777777" w:rsidR="00F95E26" w:rsidRPr="00F95E26" w:rsidRDefault="00F95E26" w:rsidP="00F95E26">
      <w:r w:rsidRPr="00F95E26">
        <w:t>Su tesis fue que la reforma elevó los umbrales económicos de punibilidad de los delitos tributarios y que las obligaciones fiscales cuyo cobro supuestamente se había intentado frustrar habían quedado muy por debajo de esos nuevos montos.</w:t>
      </w:r>
    </w:p>
    <w:p w14:paraId="1DB2284C" w14:textId="77777777" w:rsidR="00F95E26" w:rsidRPr="00F95E26" w:rsidRDefault="00F95E26" w:rsidP="00F95E26">
      <w:r w:rsidRPr="00F95E26">
        <w:t xml:space="preserve">A partir de ello, sostuvieron que se había producido una </w:t>
      </w:r>
      <w:r w:rsidRPr="00F95E26">
        <w:rPr>
          <w:b/>
          <w:bCs/>
        </w:rPr>
        <w:t>desincriminación sobrevenida</w:t>
      </w:r>
      <w:r w:rsidRPr="00F95E26">
        <w:t xml:space="preserve"> de la obligación tributaria subyacente. Según la defensa, si ya no subsistía una obligación tributaria penalmente relevante, desaparecía uno de los elementos normativos necesarios para configurar la insolvencia fiscal fraudulenta.</w:t>
      </w:r>
    </w:p>
    <w:p w14:paraId="56C09C16" w14:textId="77777777" w:rsidR="00F95E26" w:rsidRPr="00F95E26" w:rsidRDefault="00F95E26" w:rsidP="00F95E26">
      <w:r w:rsidRPr="00F95E26">
        <w:t>En otras palabras, la defensa no sostuvo simplemente que la ley 27.799 hubiera modificado directamente el art. 9, sino que la reforma habría hecho desaparecer el presupuesto penalmente relevante sobre el cual podía recaer la conducta de frustración del cobro.</w:t>
      </w:r>
    </w:p>
    <w:p w14:paraId="3630E5D7" w14:textId="77777777" w:rsidR="00F95E26" w:rsidRPr="00F95E26" w:rsidRDefault="00F95E26" w:rsidP="00F95E26">
      <w:pPr>
        <w:rPr>
          <w:b/>
          <w:bCs/>
        </w:rPr>
      </w:pPr>
      <w:r w:rsidRPr="00F95E26">
        <w:rPr>
          <w:b/>
          <w:bCs/>
        </w:rPr>
        <w:lastRenderedPageBreak/>
        <w:t>3. Postura de la querella — ARCA</w:t>
      </w:r>
    </w:p>
    <w:p w14:paraId="0CEE2786" w14:textId="77777777" w:rsidR="00F95E26" w:rsidRPr="00F95E26" w:rsidRDefault="00F95E26" w:rsidP="00F95E26">
      <w:r w:rsidRPr="00F95E26">
        <w:t>ARCA se opuso al sobreseimiento.</w:t>
      </w:r>
    </w:p>
    <w:p w14:paraId="276EFEEC" w14:textId="77777777" w:rsidR="00F95E26" w:rsidRPr="00F95E26" w:rsidRDefault="00F95E26" w:rsidP="00F95E26">
      <w:r w:rsidRPr="00F95E26">
        <w:t xml:space="preserve">Su argumento principal fue que la defensa incurría en una </w:t>
      </w:r>
      <w:r w:rsidRPr="00F95E26">
        <w:rPr>
          <w:b/>
          <w:bCs/>
        </w:rPr>
        <w:t>confusión entre dos figuras diferentes</w:t>
      </w:r>
      <w:r w:rsidRPr="00F95E26">
        <w:t>: la evasión simple del art. 1 del Régimen Penal Tributario y la insolvencia fiscal fraudulenta del art. 9.</w:t>
      </w:r>
    </w:p>
    <w:p w14:paraId="683662E6" w14:textId="77777777" w:rsidR="00F95E26" w:rsidRPr="00F95E26" w:rsidRDefault="00F95E26" w:rsidP="00F95E26">
      <w:r w:rsidRPr="00F95E26">
        <w:t xml:space="preserve">La querella sostuvo que la reforma introducida por la ley 27.799 sólo tendría incidencia respecto de aquellos delitos que contienen una </w:t>
      </w:r>
      <w:r w:rsidRPr="00F95E26">
        <w:rPr>
          <w:b/>
          <w:bCs/>
        </w:rPr>
        <w:t>condición objetiva de punibilidad cuantitativa</w:t>
      </w:r>
      <w:r w:rsidRPr="00F95E26">
        <w:t>. Según ARCA, la insolvencia fraudulenta carece de un umbral monetario propio y, por lo tanto, el aumento de los montos mínimos de evasión no podría proyectarse sobre esa figura.</w:t>
      </w:r>
    </w:p>
    <w:p w14:paraId="097CF01E" w14:textId="77777777" w:rsidR="00F95E26" w:rsidRPr="00F95E26" w:rsidRDefault="00F95E26" w:rsidP="00F95E26">
      <w:r w:rsidRPr="00F95E26">
        <w:t xml:space="preserve">También sostuvo que podía existir un </w:t>
      </w:r>
      <w:r w:rsidRPr="00F95E26">
        <w:rPr>
          <w:b/>
          <w:bCs/>
        </w:rPr>
        <w:t>concurso material entre la evasión previa y la insolvencia posterior</w:t>
      </w:r>
      <w:r w:rsidRPr="00F95E26">
        <w:t>, en tanto esta última constituiría una conducta autónoma e independiente.</w:t>
      </w:r>
    </w:p>
    <w:p w14:paraId="19146B38" w14:textId="77777777" w:rsidR="00F95E26" w:rsidRPr="00F95E26" w:rsidRDefault="00F95E26" w:rsidP="00F95E26">
      <w:pPr>
        <w:rPr>
          <w:b/>
          <w:bCs/>
        </w:rPr>
      </w:pPr>
      <w:r w:rsidRPr="00F95E26">
        <w:rPr>
          <w:b/>
          <w:bCs/>
        </w:rPr>
        <w:t>Merituación judicial de la postura de ARCA</w:t>
      </w:r>
    </w:p>
    <w:p w14:paraId="3F61FF49" w14:textId="77777777" w:rsidR="00F95E26" w:rsidRPr="00F95E26" w:rsidRDefault="00F95E26" w:rsidP="00F95E26">
      <w:r w:rsidRPr="00F95E26">
        <w:t xml:space="preserve">El juez </w:t>
      </w:r>
      <w:r w:rsidRPr="00F95E26">
        <w:rPr>
          <w:b/>
          <w:bCs/>
        </w:rPr>
        <w:t>rechazó el enfoque de la querella</w:t>
      </w:r>
      <w:r w:rsidRPr="00F95E26">
        <w:t>.</w:t>
      </w:r>
    </w:p>
    <w:p w14:paraId="2D8B7959" w14:textId="77777777" w:rsidR="00F95E26" w:rsidRPr="00F95E26" w:rsidRDefault="00F95E26" w:rsidP="00F95E26">
      <w:r w:rsidRPr="00F95E26">
        <w:t xml:space="preserve">Consideró que calificar el planteo defensivo como una mera confusión entre evasión e insolvencia constituía un </w:t>
      </w:r>
      <w:r w:rsidRPr="00F95E26">
        <w:rPr>
          <w:b/>
          <w:bCs/>
        </w:rPr>
        <w:t>“reduccionismo dogmático”</w:t>
      </w:r>
      <w:r w:rsidRPr="00F95E26">
        <w:t xml:space="preserve"> que no atendía correctamente a la estructura del art. 9.</w:t>
      </w:r>
    </w:p>
    <w:p w14:paraId="5ABB1F66" w14:textId="77777777" w:rsidR="00F95E26" w:rsidRPr="00F95E26" w:rsidRDefault="00F95E26" w:rsidP="00F95E26">
      <w:r w:rsidRPr="00F95E26">
        <w:t xml:space="preserve">Para Aguerrido, la defensa no pretendía trasladar analógicamente el umbral monetario de la evasión al delito de insolvencia, sino demostrar que la insolvencia fiscal fraudulenta exige necesariamente la existencia de una </w:t>
      </w:r>
      <w:r w:rsidRPr="00F95E26">
        <w:rPr>
          <w:b/>
          <w:bCs/>
        </w:rPr>
        <w:t>obligación tributaria exigible</w:t>
      </w:r>
      <w:r w:rsidRPr="00F95E26">
        <w:t xml:space="preserve"> cuyo cobro se intenta frustrar. Si esa obligación perdió relevancia penal, podía verse afectada la propia subsistencia típica de la insolvencia.</w:t>
      </w:r>
    </w:p>
    <w:p w14:paraId="57B0849D" w14:textId="77777777" w:rsidR="00F95E26" w:rsidRPr="00F95E26" w:rsidRDefault="00F95E26" w:rsidP="00F95E26">
      <w:r w:rsidRPr="00F95E26">
        <w:t xml:space="preserve">El tribunal también descartó el argumento del concurso material porque, aunque dogmáticamente pueda existir un concurso entre evasión e insolvencia posterior, </w:t>
      </w:r>
      <w:r w:rsidRPr="00F95E26">
        <w:rPr>
          <w:b/>
          <w:bCs/>
        </w:rPr>
        <w:t>esa no era la acusación formulada en esta causa</w:t>
      </w:r>
      <w:r w:rsidRPr="00F95E26">
        <w:t>. El proceso había sido elevado exclusivamente por insolvencia fiscal fraudulenta.</w:t>
      </w:r>
    </w:p>
    <w:p w14:paraId="29DC5ED7" w14:textId="77777777" w:rsidR="00F95E26" w:rsidRPr="00F95E26" w:rsidRDefault="00F95E26" w:rsidP="00F95E26">
      <w:pPr>
        <w:rPr>
          <w:b/>
          <w:bCs/>
        </w:rPr>
      </w:pPr>
      <w:r w:rsidRPr="00F95E26">
        <w:rPr>
          <w:b/>
          <w:bCs/>
        </w:rPr>
        <w:t>4. Postura del Ministerio Público Fiscal</w:t>
      </w:r>
    </w:p>
    <w:p w14:paraId="062F35DA" w14:textId="77777777" w:rsidR="00F95E26" w:rsidRPr="00F95E26" w:rsidRDefault="00F95E26" w:rsidP="00F95E26">
      <w:r w:rsidRPr="00F95E26">
        <w:t>El Ministerio Público Fiscal también solicitó el rechazo del sobreseimiento.</w:t>
      </w:r>
    </w:p>
    <w:p w14:paraId="5C319435" w14:textId="77777777" w:rsidR="00F95E26" w:rsidRPr="00F95E26" w:rsidRDefault="00F95E26" w:rsidP="00F95E26">
      <w:r w:rsidRPr="00F95E26">
        <w:t xml:space="preserve">La Fiscalía sostuvo que la actualización de los montos de punibilidad </w:t>
      </w:r>
      <w:r w:rsidRPr="00F95E26">
        <w:rPr>
          <w:b/>
          <w:bCs/>
        </w:rPr>
        <w:t>no elimina automáticamente la responsabilidad penal</w:t>
      </w:r>
      <w:r w:rsidRPr="00F95E26">
        <w:t>, especialmente cuando se presentan factores de mayor peligrosidad social.</w:t>
      </w:r>
    </w:p>
    <w:p w14:paraId="750F8EF1" w14:textId="77777777" w:rsidR="00F95E26" w:rsidRPr="00F95E26" w:rsidRDefault="00F95E26" w:rsidP="00F95E26">
      <w:r w:rsidRPr="00F95E26">
        <w:t>Afirmó además que la estructura típica del art. 9 del Régimen Penal Tributario permaneció intacta luego de la reforma y que no podía trasladarse, por vía analógica, un umbral cuantitativo previsto para otro tipo penal.</w:t>
      </w:r>
    </w:p>
    <w:p w14:paraId="70EB9DA6" w14:textId="77777777" w:rsidR="00F95E26" w:rsidRPr="00F95E26" w:rsidRDefault="00F95E26" w:rsidP="00F95E26">
      <w:r w:rsidRPr="00F95E26">
        <w:t>Concluyó, por ello, que no existía una ley penal más benigna aplicable al caso.</w:t>
      </w:r>
    </w:p>
    <w:p w14:paraId="1A0BCAF0" w14:textId="77777777" w:rsidR="00F95E26" w:rsidRPr="00F95E26" w:rsidRDefault="00F95E26" w:rsidP="00F95E26">
      <w:pPr>
        <w:rPr>
          <w:b/>
          <w:bCs/>
        </w:rPr>
      </w:pPr>
      <w:r w:rsidRPr="00F95E26">
        <w:rPr>
          <w:b/>
          <w:bCs/>
        </w:rPr>
        <w:t>Merituación judicial de la postura fiscal</w:t>
      </w:r>
    </w:p>
    <w:p w14:paraId="517526BD" w14:textId="77777777" w:rsidR="00F95E26" w:rsidRPr="00F95E26" w:rsidRDefault="00F95E26" w:rsidP="00F95E26">
      <w:r w:rsidRPr="00F95E26">
        <w:t>El juez consideró que la Fiscalía incurría parcialmente en la misma imprecisión que la querella.</w:t>
      </w:r>
    </w:p>
    <w:p w14:paraId="165BFA6D" w14:textId="77777777" w:rsidR="00F95E26" w:rsidRPr="00F95E26" w:rsidRDefault="00F95E26" w:rsidP="00F95E26">
      <w:r w:rsidRPr="00F95E26">
        <w:lastRenderedPageBreak/>
        <w:t xml:space="preserve">En particular, señaló que la defensa </w:t>
      </w:r>
      <w:r w:rsidRPr="00F95E26">
        <w:rPr>
          <w:b/>
          <w:bCs/>
        </w:rPr>
        <w:t>no estaba pretendiendo una aplicación analógica</w:t>
      </w:r>
      <w:r w:rsidRPr="00F95E26">
        <w:t xml:space="preserve"> de los nuevos umbrales a la insolvencia, sino cuestionando la subsistencia del elemento normativo “obligación tributaria” requerido por el art. 9.</w:t>
      </w:r>
    </w:p>
    <w:p w14:paraId="61A2F24D" w14:textId="77777777" w:rsidR="00F95E26" w:rsidRPr="00F95E26" w:rsidRDefault="00F95E26" w:rsidP="00F95E26">
      <w:r w:rsidRPr="00F95E26">
        <w:t xml:space="preserve">También rechazó la invocación fiscal a criterios de </w:t>
      </w:r>
      <w:r w:rsidRPr="00F95E26">
        <w:rPr>
          <w:b/>
          <w:bCs/>
        </w:rPr>
        <w:t>“mayor peligrosidad social”</w:t>
      </w:r>
      <w:r w:rsidRPr="00F95E26">
        <w:t xml:space="preserve"> como fundamento para mantener la punibilidad.</w:t>
      </w:r>
    </w:p>
    <w:p w14:paraId="4336517C" w14:textId="77777777" w:rsidR="00F95E26" w:rsidRPr="00F95E26" w:rsidRDefault="00F95E26" w:rsidP="00F95E26">
      <w:r w:rsidRPr="00F95E26">
        <w:t xml:space="preserve">Para el tribunal, el Derecho Penal Tributario se rige por los elementos del tipo y las condiciones legales de punibilidad, no por valoraciones genéricas de peligrosidad, que podrían entrar en tensión con el </w:t>
      </w:r>
      <w:r w:rsidRPr="00F95E26">
        <w:rPr>
          <w:b/>
          <w:bCs/>
        </w:rPr>
        <w:t>principio de legalidad del art. 18 de la Constitución Nacional</w:t>
      </w:r>
      <w:r w:rsidRPr="00F95E26">
        <w:t>.</w:t>
      </w:r>
    </w:p>
    <w:p w14:paraId="15E0CFE6" w14:textId="77777777" w:rsidR="00F95E26" w:rsidRPr="00F95E26" w:rsidRDefault="00F95E26" w:rsidP="00F95E26">
      <w:pPr>
        <w:rPr>
          <w:b/>
          <w:bCs/>
        </w:rPr>
      </w:pPr>
      <w:r w:rsidRPr="00F95E26">
        <w:rPr>
          <w:b/>
          <w:bCs/>
        </w:rPr>
        <w:t>5. Análisis jurídico realizado por el juez</w:t>
      </w:r>
    </w:p>
    <w:p w14:paraId="6C9479D4" w14:textId="77777777" w:rsidR="00F95E26" w:rsidRPr="00F95E26" w:rsidRDefault="00F95E26" w:rsidP="00F95E26">
      <w:pPr>
        <w:rPr>
          <w:b/>
          <w:bCs/>
        </w:rPr>
      </w:pPr>
      <w:r w:rsidRPr="00F95E26">
        <w:rPr>
          <w:b/>
          <w:bCs/>
        </w:rPr>
        <w:t>a. Naturaleza de la insolvencia fiscal fraudulenta</w:t>
      </w:r>
    </w:p>
    <w:p w14:paraId="17129A9A" w14:textId="77777777" w:rsidR="00F95E26" w:rsidRPr="00F95E26" w:rsidRDefault="00F95E26" w:rsidP="00F95E26">
      <w:r w:rsidRPr="00F95E26">
        <w:t>Aguerrido parte de analizar el art. 9 del Régimen Penal Tributario.</w:t>
      </w:r>
    </w:p>
    <w:p w14:paraId="3FC1BEAB" w14:textId="77777777" w:rsidR="00F95E26" w:rsidRPr="00F95E26" w:rsidRDefault="00F95E26" w:rsidP="00F95E26">
      <w:r w:rsidRPr="00F95E26">
        <w:t xml:space="preserve">Considera que la figura exige actos positivos dirigidos a </w:t>
      </w:r>
      <w:r w:rsidRPr="00F95E26">
        <w:rPr>
          <w:b/>
          <w:bCs/>
        </w:rPr>
        <w:t>provocar o agravar la insolvencia del sujeto activo</w:t>
      </w:r>
      <w:r w:rsidRPr="00F95E26">
        <w:t>, mediante maniobras de despatrimonialización orientadas a frustrar la pretensión crediticia estatal.</w:t>
      </w:r>
    </w:p>
    <w:p w14:paraId="06BC6CDB" w14:textId="77777777" w:rsidR="00F95E26" w:rsidRPr="00F95E26" w:rsidRDefault="00F95E26" w:rsidP="00F95E26">
      <w:r w:rsidRPr="00F95E26">
        <w:t xml:space="preserve">Para el juez, se trata de un </w:t>
      </w:r>
      <w:r w:rsidRPr="00F95E26">
        <w:rPr>
          <w:b/>
          <w:bCs/>
        </w:rPr>
        <w:t>delito de resultado</w:t>
      </w:r>
      <w:r w:rsidRPr="00F95E26">
        <w:t>, no de mera actividad ni de peligro abstracto.</w:t>
      </w:r>
    </w:p>
    <w:p w14:paraId="05A8D305" w14:textId="77777777" w:rsidR="00F95E26" w:rsidRPr="00F95E26" w:rsidRDefault="00F95E26" w:rsidP="00F95E26">
      <w:r w:rsidRPr="00F95E26">
        <w:t>La consumación exige dos resultados interrelacionados:</w:t>
      </w:r>
    </w:p>
    <w:p w14:paraId="38B428E7" w14:textId="77777777" w:rsidR="00F95E26" w:rsidRPr="00F95E26" w:rsidRDefault="00F95E26" w:rsidP="00447176">
      <w:pPr>
        <w:numPr>
          <w:ilvl w:val="0"/>
          <w:numId w:val="3"/>
        </w:numPr>
      </w:pPr>
      <w:r w:rsidRPr="00F95E26">
        <w:t>un detrimento patrimonial real en cabeza del sujeto activo; y</w:t>
      </w:r>
    </w:p>
    <w:p w14:paraId="729207B2" w14:textId="77777777" w:rsidR="00F95E26" w:rsidRPr="00F95E26" w:rsidRDefault="00F95E26" w:rsidP="00447176">
      <w:pPr>
        <w:numPr>
          <w:ilvl w:val="0"/>
          <w:numId w:val="3"/>
        </w:numPr>
      </w:pPr>
      <w:r w:rsidRPr="00F95E26">
        <w:t>la frustración total o parcial del cumplimiento de obligaciones tributarias exigibles.</w:t>
      </w:r>
    </w:p>
    <w:p w14:paraId="673E3970" w14:textId="77777777" w:rsidR="00F95E26" w:rsidRPr="00F95E26" w:rsidRDefault="00F95E26" w:rsidP="00F95E26">
      <w:r w:rsidRPr="00F95E26">
        <w:t>Debe existir, además, una relación causal entre las maniobras de despatrimonialización y la imposibilidad de cobro del crédito fiscal.</w:t>
      </w:r>
    </w:p>
    <w:p w14:paraId="592E6E9A" w14:textId="77777777" w:rsidR="00F95E26" w:rsidRPr="00F95E26" w:rsidRDefault="00F95E26" w:rsidP="00F95E26">
      <w:pPr>
        <w:rPr>
          <w:b/>
          <w:bCs/>
        </w:rPr>
      </w:pPr>
      <w:r w:rsidRPr="00F95E26">
        <w:rPr>
          <w:b/>
          <w:bCs/>
        </w:rPr>
        <w:t>b. La obligación tributaria exigible como elemento normativo</w:t>
      </w:r>
    </w:p>
    <w:p w14:paraId="6555FFE1" w14:textId="77777777" w:rsidR="00F95E26" w:rsidRPr="00F95E26" w:rsidRDefault="00F95E26" w:rsidP="00F95E26">
      <w:r w:rsidRPr="00F95E26">
        <w:t>Este es el punto central del fallo.</w:t>
      </w:r>
    </w:p>
    <w:p w14:paraId="2F465732" w14:textId="77777777" w:rsidR="00F95E26" w:rsidRPr="00F95E26" w:rsidRDefault="00F95E26" w:rsidP="00F95E26">
      <w:r w:rsidRPr="00F95E26">
        <w:t xml:space="preserve">El juez sostiene que la </w:t>
      </w:r>
      <w:r w:rsidRPr="00F95E26">
        <w:rPr>
          <w:b/>
          <w:bCs/>
        </w:rPr>
        <w:t>existencia de una obligación tributaria exigible constituye un elemento normativo del tipo penal</w:t>
      </w:r>
      <w:r w:rsidRPr="00F95E26">
        <w:t>.</w:t>
      </w:r>
    </w:p>
    <w:p w14:paraId="388BE7B1" w14:textId="77777777" w:rsidR="00F95E26" w:rsidRPr="00F95E26" w:rsidRDefault="00F95E26" w:rsidP="00F95E26">
      <w:r w:rsidRPr="00F95E26">
        <w:t>La insolvencia fraudulenta no puede configurarse “en el vacío”: requiere un crédito fiscal previo, válido y exigible. La existencia, cuantía y subsistencia de ese crédito deben ser comprobadas por el juez penal y no pueden darse por supuestas.</w:t>
      </w:r>
    </w:p>
    <w:p w14:paraId="6A443290" w14:textId="77777777" w:rsidR="00F95E26" w:rsidRPr="00F95E26" w:rsidRDefault="00F95E26" w:rsidP="00F95E26">
      <w:r w:rsidRPr="00F95E26">
        <w:t>Por ello, Aguerrido identifica tres requisitos concurrentes para la configuración de la figura:</w:t>
      </w:r>
    </w:p>
    <w:p w14:paraId="5554A02B" w14:textId="77777777" w:rsidR="00F95E26" w:rsidRPr="00F95E26" w:rsidRDefault="00F95E26" w:rsidP="00447176">
      <w:pPr>
        <w:numPr>
          <w:ilvl w:val="0"/>
          <w:numId w:val="4"/>
        </w:numPr>
      </w:pPr>
      <w:r w:rsidRPr="00F95E26">
        <w:t>existencia de una obligación tributaria legalmente exigible;</w:t>
      </w:r>
    </w:p>
    <w:p w14:paraId="2A917401" w14:textId="77777777" w:rsidR="00F95E26" w:rsidRPr="00F95E26" w:rsidRDefault="00F95E26" w:rsidP="00447176">
      <w:pPr>
        <w:numPr>
          <w:ilvl w:val="0"/>
          <w:numId w:val="4"/>
        </w:numPr>
      </w:pPr>
      <w:r w:rsidRPr="00F95E26">
        <w:t>acto material de despatrimonialización;</w:t>
      </w:r>
    </w:p>
    <w:p w14:paraId="291C10CC" w14:textId="77777777" w:rsidR="00F95E26" w:rsidRPr="00F95E26" w:rsidRDefault="00F95E26" w:rsidP="00447176">
      <w:pPr>
        <w:numPr>
          <w:ilvl w:val="0"/>
          <w:numId w:val="4"/>
        </w:numPr>
      </w:pPr>
      <w:r w:rsidRPr="00F95E26">
        <w:t>propósito deliberado de frustrar el cobro de esa obligación.</w:t>
      </w:r>
    </w:p>
    <w:p w14:paraId="34BD320F" w14:textId="77777777" w:rsidR="00F95E26" w:rsidRPr="00F95E26" w:rsidRDefault="00F95E26" w:rsidP="00F95E26">
      <w:pPr>
        <w:rPr>
          <w:b/>
          <w:bCs/>
        </w:rPr>
      </w:pPr>
      <w:r w:rsidRPr="00F95E26">
        <w:rPr>
          <w:b/>
          <w:bCs/>
        </w:rPr>
        <w:t>6. Aplicación de la ley penal más benigna</w:t>
      </w:r>
    </w:p>
    <w:p w14:paraId="59363C05" w14:textId="77777777" w:rsidR="00F95E26" w:rsidRPr="00F95E26" w:rsidRDefault="00F95E26" w:rsidP="00F95E26">
      <w:r w:rsidRPr="00F95E26">
        <w:t xml:space="preserve">El juez considera que esos requisitos no sólo deben verificarse al momento de cometerse la conducta, sino que las condiciones de punibilidad deben </w:t>
      </w:r>
      <w:r w:rsidRPr="00F95E26">
        <w:rPr>
          <w:b/>
          <w:bCs/>
        </w:rPr>
        <w:t>subsistir al momento de dictarse sentencia</w:t>
      </w:r>
      <w:r w:rsidRPr="00F95E26">
        <w:t>.</w:t>
      </w:r>
    </w:p>
    <w:p w14:paraId="10A96C1A" w14:textId="77777777" w:rsidR="00F95E26" w:rsidRPr="00F95E26" w:rsidRDefault="00F95E26" w:rsidP="00F95E26">
      <w:r w:rsidRPr="00F95E26">
        <w:lastRenderedPageBreak/>
        <w:t xml:space="preserve">Para sostener este criterio se remite al precedente de la Corte Suprema </w:t>
      </w:r>
      <w:r w:rsidRPr="00F95E26">
        <w:rPr>
          <w:b/>
          <w:bCs/>
        </w:rPr>
        <w:t>“Vidal, Matías Fernando s/ infracción ley 24.769”</w:t>
      </w:r>
      <w:r w:rsidRPr="00F95E26">
        <w:t>, del 28 de octubre de 2021.</w:t>
      </w:r>
    </w:p>
    <w:p w14:paraId="4EA4E495" w14:textId="77777777" w:rsidR="00F95E26" w:rsidRPr="00F95E26" w:rsidRDefault="00F95E26" w:rsidP="00F95E26">
      <w:r w:rsidRPr="00F95E26">
        <w:t>Según la interpretación que realiza el tribunal, “Vidal” exige volver a analizar las condiciones de punibilidad a la luz del cuadro normativo vigente al momento del juzgamiento cuando una ley posterior resulta más favorable.</w:t>
      </w:r>
    </w:p>
    <w:p w14:paraId="26E1F861" w14:textId="77777777" w:rsidR="00F95E26" w:rsidRPr="00F95E26" w:rsidRDefault="00F95E26" w:rsidP="00F95E26">
      <w:r w:rsidRPr="00F95E26">
        <w:t>Sobre esa base aplica, por identidad de razón, el mismo esquema a la insolvencia fiscal fraudulenta.</w:t>
      </w:r>
    </w:p>
    <w:p w14:paraId="46026952" w14:textId="77777777" w:rsidR="00F95E26" w:rsidRPr="00F95E26" w:rsidRDefault="00F95E26" w:rsidP="00F95E26">
      <w:pPr>
        <w:rPr>
          <w:b/>
          <w:bCs/>
        </w:rPr>
      </w:pPr>
      <w:r w:rsidRPr="00F95E26">
        <w:rPr>
          <w:b/>
          <w:bCs/>
        </w:rPr>
        <w:t>7. Incidencia de la ley 27.799</w:t>
      </w:r>
    </w:p>
    <w:p w14:paraId="658F3E96" w14:textId="77777777" w:rsidR="00F95E26" w:rsidRPr="00F95E26" w:rsidRDefault="00F95E26" w:rsidP="00F95E26">
      <w:r w:rsidRPr="00F95E26">
        <w:t>El juez observa que la ley 27.799 elevó considerablemente los umbrales económicos de punibilidad de los delitos tributarios.</w:t>
      </w:r>
    </w:p>
    <w:p w14:paraId="4360EB7D" w14:textId="77777777" w:rsidR="00F95E26" w:rsidRPr="00F95E26" w:rsidRDefault="00F95E26" w:rsidP="00F95E26">
      <w:r w:rsidRPr="00F95E26">
        <w:t xml:space="preserve">Frente a esos nuevos valores, la obligación tributaria de </w:t>
      </w:r>
      <w:r w:rsidRPr="00F95E26">
        <w:rPr>
          <w:b/>
          <w:bCs/>
        </w:rPr>
        <w:t>$3.371.879,20</w:t>
      </w:r>
      <w:r w:rsidRPr="00F95E26">
        <w:t xml:space="preserve"> que servía de sustrato a la imputación quedó completamente por debajo de los nuevos mínimos legales y, según el fallo, perdió relevancia penal.</w:t>
      </w:r>
    </w:p>
    <w:p w14:paraId="783702EF" w14:textId="77777777" w:rsidR="00F95E26" w:rsidRPr="00F95E26" w:rsidRDefault="00F95E26" w:rsidP="00F95E26">
      <w:r w:rsidRPr="00F95E26">
        <w:t xml:space="preserve">Aguerrido enfatiza que </w:t>
      </w:r>
      <w:r w:rsidRPr="00F95E26">
        <w:rPr>
          <w:b/>
          <w:bCs/>
        </w:rPr>
        <w:t>la ley 27.799 no modificó directamente el texto del art. 9</w:t>
      </w:r>
      <w:r w:rsidRPr="00F95E26">
        <w:t>.</w:t>
      </w:r>
    </w:p>
    <w:p w14:paraId="71787392" w14:textId="77777777" w:rsidR="00F95E26" w:rsidRPr="00F95E26" w:rsidRDefault="00F95E26" w:rsidP="00F95E26">
      <w:r w:rsidRPr="00F95E26">
        <w:t>El efecto se produce indirectamente: si la deuda tributaria que constituía el presupuesto de la maniobra ha quedado desprovista de relevancia penal, desaparece el elemento normativo necesario para la configuración de la insolvencia fiscal fraudulenta.</w:t>
      </w:r>
    </w:p>
    <w:p w14:paraId="34F6A5D8" w14:textId="77777777" w:rsidR="00F95E26" w:rsidRPr="00F95E26" w:rsidRDefault="00F95E26" w:rsidP="00F95E26">
      <w:r w:rsidRPr="00F95E26">
        <w:t xml:space="preserve">El fallo describe esta consecuencia como una suerte de </w:t>
      </w:r>
      <w:r w:rsidRPr="00F95E26">
        <w:rPr>
          <w:b/>
          <w:bCs/>
        </w:rPr>
        <w:t>“efecto dominó”</w:t>
      </w:r>
      <w:r w:rsidRPr="00F95E26">
        <w:t>: la desincriminación de la deuda subyacente provoca la pérdida de tipicidad de la conducta destinada a frustrar su cobro.</w:t>
      </w:r>
    </w:p>
    <w:p w14:paraId="75452868" w14:textId="77777777" w:rsidR="00F95E26" w:rsidRPr="00F95E26" w:rsidRDefault="00F95E26" w:rsidP="00F95E26">
      <w:r w:rsidRPr="00F95E26">
        <w:t>Para el juez, sin una obligación tributaria penalmente exigible, ya no existe el objeto material sobre el cual pueda proyectarse la conducta prevista en el art. 9.</w:t>
      </w:r>
    </w:p>
    <w:p w14:paraId="792C0EEB" w14:textId="77777777" w:rsidR="00F95E26" w:rsidRPr="00F95E26" w:rsidRDefault="00F95E26" w:rsidP="00F95E26">
      <w:r w:rsidRPr="00F95E26">
        <w:t xml:space="preserve">Mantener la persecución penal por insolvencia respecto de un crédito al que el propio legislador habría privado de relevancia penal vulneraría además los principios de </w:t>
      </w:r>
      <w:r w:rsidRPr="00F95E26">
        <w:rPr>
          <w:b/>
          <w:bCs/>
        </w:rPr>
        <w:t>proporcionalidad y subsidiariedad del Derecho Penal</w:t>
      </w:r>
      <w:r w:rsidRPr="00F95E26">
        <w:t>.</w:t>
      </w:r>
    </w:p>
    <w:p w14:paraId="2A45585D" w14:textId="77777777" w:rsidR="00F95E26" w:rsidRPr="00F95E26" w:rsidRDefault="00F95E26" w:rsidP="00F95E26">
      <w:pPr>
        <w:rPr>
          <w:b/>
          <w:bCs/>
        </w:rPr>
      </w:pPr>
      <w:r w:rsidRPr="00F95E26">
        <w:rPr>
          <w:b/>
          <w:bCs/>
        </w:rPr>
        <w:t>8. Posición del juez Marcos Javier Aguerrido</w:t>
      </w:r>
    </w:p>
    <w:p w14:paraId="415BBF87" w14:textId="77777777" w:rsidR="00F95E26" w:rsidRPr="00F95E26" w:rsidRDefault="00F95E26" w:rsidP="00F95E26">
      <w:r w:rsidRPr="00F95E26">
        <w:t xml:space="preserve">El juez </w:t>
      </w:r>
      <w:r w:rsidRPr="00F95E26">
        <w:rPr>
          <w:b/>
          <w:bCs/>
        </w:rPr>
        <w:t>acoge íntegramente el planteo defensivo</w:t>
      </w:r>
      <w:r w:rsidRPr="00F95E26">
        <w:t>.</w:t>
      </w:r>
    </w:p>
    <w:p w14:paraId="77CF6C6A" w14:textId="77777777" w:rsidR="00F95E26" w:rsidRPr="00F95E26" w:rsidRDefault="00F95E26" w:rsidP="00F95E26">
      <w:r w:rsidRPr="00F95E26">
        <w:t>Su razonamiento puede resumirse del siguiente modo:</w:t>
      </w:r>
    </w:p>
    <w:p w14:paraId="6B7F1E8F" w14:textId="77777777" w:rsidR="00F95E26" w:rsidRPr="00F95E26" w:rsidRDefault="00F95E26" w:rsidP="00F95E26">
      <w:r w:rsidRPr="00F95E26">
        <w:rPr>
          <w:b/>
          <w:bCs/>
        </w:rPr>
        <w:t>la insolvencia fiscal fraudulenta requiere una obligación tributaria exigible como elemento normativo del tipo → la ley 27.799 produjo una modificación más benigna de los umbrales de punibilidad → la deuda de $3.371.879,20 quedó por debajo de esos nuevos parámetros → esa obligación perdió relevancia penal → desapareció uno de los presupuestos necesarios para la subsistencia del delito de insolvencia fiscal fraudulenta.</w:t>
      </w:r>
    </w:p>
    <w:p w14:paraId="06C43E20" w14:textId="77777777" w:rsidR="00F95E26" w:rsidRPr="00F95E26" w:rsidRDefault="00F95E26" w:rsidP="00F95E26">
      <w:r w:rsidRPr="00F95E26">
        <w:t xml:space="preserve">Por ello entiende que se configura una </w:t>
      </w:r>
      <w:r w:rsidRPr="00F95E26">
        <w:rPr>
          <w:b/>
          <w:bCs/>
        </w:rPr>
        <w:t>atipicidad sobrevenida</w:t>
      </w:r>
      <w:r w:rsidRPr="00F95E26">
        <w:t xml:space="preserve">, que debe ser reconocida por aplicación retroactiva de la ley penal más benigna conforme al </w:t>
      </w:r>
      <w:r w:rsidRPr="00F95E26">
        <w:rPr>
          <w:b/>
          <w:bCs/>
        </w:rPr>
        <w:t>art. 2 del Código Penal</w:t>
      </w:r>
      <w:r w:rsidRPr="00F95E26">
        <w:t>, junto con las garantías de legalidad y debido proceso del art. 18 CN.</w:t>
      </w:r>
    </w:p>
    <w:p w14:paraId="319013F0" w14:textId="77777777" w:rsidR="00F95E26" w:rsidRPr="00F95E26" w:rsidRDefault="00F95E26" w:rsidP="00F95E26">
      <w:pPr>
        <w:rPr>
          <w:b/>
          <w:bCs/>
        </w:rPr>
      </w:pPr>
      <w:r w:rsidRPr="00F95E26">
        <w:rPr>
          <w:b/>
          <w:bCs/>
        </w:rPr>
        <w:t>9. Resolución</w:t>
      </w:r>
    </w:p>
    <w:p w14:paraId="7F59AE82" w14:textId="77777777" w:rsidR="00F95E26" w:rsidRPr="00F95E26" w:rsidRDefault="00F95E26" w:rsidP="00F95E26">
      <w:r w:rsidRPr="00F95E26">
        <w:t>El Tribunal Oral Federal de General Roca resolvió:</w:t>
      </w:r>
    </w:p>
    <w:p w14:paraId="2E88A6A4" w14:textId="77777777" w:rsidR="00F95E26" w:rsidRPr="00F95E26" w:rsidRDefault="00F95E26" w:rsidP="00F95E26">
      <w:r w:rsidRPr="00F95E26">
        <w:rPr>
          <w:b/>
          <w:bCs/>
        </w:rPr>
        <w:lastRenderedPageBreak/>
        <w:t>1. Hacer lugar al planteo de la defensa.</w:t>
      </w:r>
    </w:p>
    <w:p w14:paraId="4B6DAD55" w14:textId="77777777" w:rsidR="00F95E26" w:rsidRPr="00F95E26" w:rsidRDefault="00F95E26" w:rsidP="00F95E26">
      <w:r w:rsidRPr="00F95E26">
        <w:rPr>
          <w:b/>
          <w:bCs/>
        </w:rPr>
        <w:t>2. Sobreseer a Horacio Alberto Gamen y Héctor Efraím Gamen</w:t>
      </w:r>
      <w:r w:rsidRPr="00F95E26">
        <w:t xml:space="preserve"> respecto del delito de insolvencia fiscal fraudulenta del art. 9 de la ley 27.430.</w:t>
      </w:r>
    </w:p>
    <w:p w14:paraId="499F61DB" w14:textId="77777777" w:rsidR="00F95E26" w:rsidRPr="00F95E26" w:rsidRDefault="00F95E26" w:rsidP="00F95E26">
      <w:r w:rsidRPr="00F95E26">
        <w:rPr>
          <w:b/>
          <w:bCs/>
        </w:rPr>
        <w:t>3. Fundar el sobreseimiento en la aplicación retroactiva de la ley penal más benigna —ley 27.799— y en la consecuente atipicidad de la conducta por desaparición del elemento normativo del tipo.</w:t>
      </w:r>
    </w:p>
    <w:p w14:paraId="0279EF72" w14:textId="77777777" w:rsidR="00F95E26" w:rsidRPr="00F95E26" w:rsidRDefault="00F95E26" w:rsidP="00F95E26">
      <w:r w:rsidRPr="00F95E26">
        <w:rPr>
          <w:b/>
          <w:bCs/>
        </w:rPr>
        <w:t>4. Declarar que el proceso no afecta el buen nombre y honor del que hubieran gozado los imputados.</w:t>
      </w:r>
    </w:p>
    <w:p w14:paraId="1AE39693" w14:textId="77777777" w:rsidR="00F95E26" w:rsidRPr="00F95E26" w:rsidRDefault="00F95E26" w:rsidP="00F95E26">
      <w:r w:rsidRPr="00F95E26">
        <w:rPr>
          <w:b/>
          <w:bCs/>
        </w:rPr>
        <w:t>5. Disponer el archivo de la causa una vez firme la resolución.</w:t>
      </w:r>
    </w:p>
    <w:p w14:paraId="281434B0" w14:textId="77777777" w:rsidR="00F95E26" w:rsidRPr="00F95E26" w:rsidRDefault="00F95E26" w:rsidP="00F95E26">
      <w:pPr>
        <w:rPr>
          <w:b/>
          <w:bCs/>
        </w:rPr>
      </w:pPr>
      <w:r w:rsidRPr="00F95E26">
        <w:rPr>
          <w:b/>
          <w:bCs/>
        </w:rPr>
        <w:t>Síntesis de la doctrina central del fallo</w:t>
      </w:r>
    </w:p>
    <w:p w14:paraId="2A35FFA8" w14:textId="77777777" w:rsidR="00F95E26" w:rsidRPr="00F95E26" w:rsidRDefault="00F95E26" w:rsidP="00F95E26">
      <w:r w:rsidRPr="00F95E26">
        <w:t xml:space="preserve">El aspecto más relevante del pronunciamiento es que </w:t>
      </w:r>
      <w:r w:rsidRPr="00F95E26">
        <w:rPr>
          <w:b/>
          <w:bCs/>
        </w:rPr>
        <w:t>no afirma que la ley 27.799 haya modificado directamente el delito de insolvencia fiscal fraudulenta</w:t>
      </w:r>
      <w:r w:rsidRPr="00F95E26">
        <w:t>, sino que considera que la reforma puede beneficiarlo indirectamente cuando la obligación tributaria cuyo cobro se pretendía frustrar pierde relevancia penal.</w:t>
      </w:r>
    </w:p>
    <w:p w14:paraId="749DA0F3" w14:textId="77777777" w:rsidR="00F95E26" w:rsidRPr="00F95E26" w:rsidRDefault="00F95E26" w:rsidP="00F95E26">
      <w:r w:rsidRPr="00F95E26">
        <w:t xml:space="preserve">La tesis del fallo consiste, por tanto, en considerar a la </w:t>
      </w:r>
      <w:r w:rsidRPr="00F95E26">
        <w:rPr>
          <w:b/>
          <w:bCs/>
        </w:rPr>
        <w:t>“obligación tributaria exigible” como elemento normativo indispensable del art. 9</w:t>
      </w:r>
      <w:r w:rsidRPr="00F95E26">
        <w:t>, cuya subsistencia debe verificarse también al momento del juzgamiento. Si una ley penal posterior más benigna priva de relevancia penal a esa obligación, la insolvencia fiscal fraudulenta queda, según Aguerrido, privada de uno de sus presupuestos típicos y deviene atípica.</w:t>
      </w:r>
    </w:p>
    <w:p w14:paraId="5194D264" w14:textId="738A2DC1" w:rsidR="00F95E26" w:rsidRDefault="00F95E26" w:rsidP="00A245F2"/>
    <w:p w14:paraId="0CF65E7F" w14:textId="57672168" w:rsidR="00E41648" w:rsidRPr="003770F1" w:rsidRDefault="00E41648" w:rsidP="00E41648">
      <w:pPr>
        <w:rPr>
          <w:b/>
          <w:bCs/>
          <w:u w:val="single"/>
        </w:rPr>
      </w:pPr>
      <w:r w:rsidRPr="003770F1">
        <w:rPr>
          <w:b/>
          <w:bCs/>
          <w:u w:val="single"/>
        </w:rPr>
        <w:t>FALLO IV</w:t>
      </w:r>
    </w:p>
    <w:p w14:paraId="2FC1AA31" w14:textId="49D86062" w:rsidR="00E41648" w:rsidRPr="00E41648" w:rsidRDefault="00E41648" w:rsidP="00E41648">
      <w:r w:rsidRPr="00E41648">
        <w:rPr>
          <w:b/>
          <w:bCs/>
        </w:rPr>
        <w:t>Autos:</w:t>
      </w:r>
      <w:r w:rsidRPr="00E41648">
        <w:t xml:space="preserve"> “Aceros y Construcciones S.A.; Aybar Ortega, Jonatan Alberto s/recurso de casación”, causa </w:t>
      </w:r>
      <w:r w:rsidRPr="00E41648">
        <w:rPr>
          <w:b/>
          <w:bCs/>
        </w:rPr>
        <w:t>CPE 559/2022/TO1/CFC1</w:t>
      </w:r>
      <w:r w:rsidRPr="00E41648">
        <w:t>, Registro N.º 893/26.4.</w:t>
      </w:r>
      <w:r w:rsidRPr="00E41648">
        <w:br/>
      </w:r>
      <w:r w:rsidRPr="00E41648">
        <w:rPr>
          <w:b/>
          <w:bCs/>
        </w:rPr>
        <w:t>Tribunal:</w:t>
      </w:r>
      <w:r w:rsidRPr="00E41648">
        <w:t xml:space="preserve"> </w:t>
      </w:r>
      <w:r w:rsidRPr="00E41648">
        <w:rPr>
          <w:b/>
          <w:bCs/>
        </w:rPr>
        <w:t>Cámara Federal de Casación Penal, Sala IV</w:t>
      </w:r>
      <w:r w:rsidRPr="00E41648">
        <w:t xml:space="preserve">, integrada en este caso por los jueces </w:t>
      </w:r>
      <w:r w:rsidRPr="00E41648">
        <w:rPr>
          <w:b/>
          <w:bCs/>
        </w:rPr>
        <w:t>Mariano Hernán Borinsky y Javier Carbajo</w:t>
      </w:r>
      <w:r w:rsidRPr="00E41648">
        <w:t>, conforme al art. 30 bis, último párrafo, CPPN.</w:t>
      </w:r>
      <w:r w:rsidRPr="00E41648">
        <w:br/>
      </w:r>
      <w:r w:rsidRPr="00E41648">
        <w:rPr>
          <w:b/>
          <w:bCs/>
        </w:rPr>
        <w:t>Fecha:</w:t>
      </w:r>
      <w:r w:rsidRPr="00E41648">
        <w:t xml:space="preserve"> </w:t>
      </w:r>
      <w:r w:rsidRPr="00E41648">
        <w:rPr>
          <w:b/>
          <w:bCs/>
        </w:rPr>
        <w:t>16 de julio de 2026</w:t>
      </w:r>
      <w:r w:rsidRPr="00E41648">
        <w:t>.</w:t>
      </w:r>
    </w:p>
    <w:p w14:paraId="33AAD3A6" w14:textId="77777777" w:rsidR="00E41648" w:rsidRPr="00E41648" w:rsidRDefault="00E41648" w:rsidP="00E41648">
      <w:r w:rsidRPr="00E41648">
        <w:t xml:space="preserve">El fallo resuelve el recurso de casación interpuesto por el </w:t>
      </w:r>
      <w:r w:rsidRPr="00E41648">
        <w:rPr>
          <w:b/>
          <w:bCs/>
        </w:rPr>
        <w:t>Ministerio Público Fiscal</w:t>
      </w:r>
      <w:r w:rsidRPr="00E41648">
        <w:t xml:space="preserve"> contra la decisión del Tribunal Oral en lo Penal Económico N.º 3 que había sobreseído a </w:t>
      </w:r>
      <w:r w:rsidRPr="00E41648">
        <w:rPr>
          <w:b/>
          <w:bCs/>
        </w:rPr>
        <w:t>Jonatan Alberto Aybar Ortega y Aceros y Construcciones S.A.</w:t>
      </w:r>
      <w:r w:rsidRPr="00E41648">
        <w:t xml:space="preserve">, por aplicación retroactiva de la </w:t>
      </w:r>
      <w:r w:rsidRPr="00E41648">
        <w:rPr>
          <w:b/>
          <w:bCs/>
        </w:rPr>
        <w:t>ley 27.799</w:t>
      </w:r>
      <w:r w:rsidRPr="00E41648">
        <w:t xml:space="preserve"> como ley penal más benigna.</w:t>
      </w:r>
    </w:p>
    <w:p w14:paraId="3B864379" w14:textId="77777777" w:rsidR="00E41648" w:rsidRPr="00E41648" w:rsidRDefault="003770F1" w:rsidP="00E41648">
      <w:r>
        <w:pict w14:anchorId="3A8ED67D">
          <v:rect id="_x0000_i1031" style="width:0;height:1.5pt" o:hralign="center" o:hrstd="t" o:hr="t" fillcolor="#a0a0a0" stroked="f"/>
        </w:pict>
      </w:r>
    </w:p>
    <w:p w14:paraId="28D74D54" w14:textId="77777777" w:rsidR="00E41648" w:rsidRPr="00E41648" w:rsidRDefault="00E41648" w:rsidP="00E41648">
      <w:pPr>
        <w:rPr>
          <w:b/>
          <w:bCs/>
        </w:rPr>
      </w:pPr>
      <w:r w:rsidRPr="00E41648">
        <w:rPr>
          <w:b/>
          <w:bCs/>
        </w:rPr>
        <w:t>1. Antecedentes fácticos y procesales</w:t>
      </w:r>
    </w:p>
    <w:p w14:paraId="66BE5738" w14:textId="77777777" w:rsidR="00E41648" w:rsidRPr="00E41648" w:rsidRDefault="00E41648" w:rsidP="00E41648">
      <w:r w:rsidRPr="00E41648">
        <w:t xml:space="preserve">La causa tenía por objeto la </w:t>
      </w:r>
      <w:r w:rsidRPr="00E41648">
        <w:rPr>
          <w:b/>
          <w:bCs/>
        </w:rPr>
        <w:t>evasión del impuesto a las ganancias correspondiente al ejercicio fiscal 2017</w:t>
      </w:r>
      <w:r w:rsidRPr="00E41648">
        <w:t>, atribuida a Jonatan Alberto Aybar Ortega y a Aceros y Construcciones S.A.</w:t>
      </w:r>
    </w:p>
    <w:p w14:paraId="2F24F907" w14:textId="77777777" w:rsidR="00E41648" w:rsidRPr="00E41648" w:rsidRDefault="00E41648" w:rsidP="00E41648">
      <w:r w:rsidRPr="00E41648">
        <w:t xml:space="preserve">La maniobra consistió en la incorporación a la contabilidad de la sociedad de </w:t>
      </w:r>
      <w:r w:rsidRPr="00E41648">
        <w:rPr>
          <w:b/>
          <w:bCs/>
        </w:rPr>
        <w:t>facturas apócrifas</w:t>
      </w:r>
      <w:r w:rsidRPr="00E41648">
        <w:t xml:space="preserve"> y la inclusión en sus declaraciones juradas de </w:t>
      </w:r>
      <w:r w:rsidRPr="00E41648">
        <w:rPr>
          <w:b/>
          <w:bCs/>
        </w:rPr>
        <w:t>gastos inexistentes</w:t>
      </w:r>
      <w:r w:rsidRPr="00E41648">
        <w:t>, provocando la omisión del ingreso del impuesto a las ganancias.</w:t>
      </w:r>
    </w:p>
    <w:p w14:paraId="38725AC9" w14:textId="77777777" w:rsidR="00E41648" w:rsidRPr="00E41648" w:rsidRDefault="00E41648" w:rsidP="00E41648">
      <w:r w:rsidRPr="00E41648">
        <w:t xml:space="preserve">El monto evadido fue de </w:t>
      </w:r>
      <w:r w:rsidRPr="00E41648">
        <w:rPr>
          <w:b/>
          <w:bCs/>
        </w:rPr>
        <w:t>$2.247.650,69</w:t>
      </w:r>
      <w:r w:rsidRPr="00E41648">
        <w:t>.</w:t>
      </w:r>
    </w:p>
    <w:p w14:paraId="16119150" w14:textId="77777777" w:rsidR="00E41648" w:rsidRPr="00E41648" w:rsidRDefault="00E41648" w:rsidP="00E41648">
      <w:pPr>
        <w:rPr>
          <w:b/>
          <w:bCs/>
        </w:rPr>
      </w:pPr>
      <w:r w:rsidRPr="00E41648">
        <w:rPr>
          <w:b/>
          <w:bCs/>
        </w:rPr>
        <w:t>Condena por juicio abreviado</w:t>
      </w:r>
    </w:p>
    <w:p w14:paraId="3B0057B2" w14:textId="77777777" w:rsidR="00E41648" w:rsidRPr="00E41648" w:rsidRDefault="00E41648" w:rsidP="00E41648">
      <w:r w:rsidRPr="00E41648">
        <w:lastRenderedPageBreak/>
        <w:t xml:space="preserve">El </w:t>
      </w:r>
      <w:r w:rsidRPr="00E41648">
        <w:rPr>
          <w:b/>
          <w:bCs/>
        </w:rPr>
        <w:t>22 de diciembre de 2025</w:t>
      </w:r>
      <w:r w:rsidRPr="00E41648">
        <w:t xml:space="preserve">, el Tribunal Oral en lo Penal Económico N.º 3 homologó un acuerdo de juicio abreviado y condenó a </w:t>
      </w:r>
      <w:r w:rsidRPr="00E41648">
        <w:rPr>
          <w:b/>
          <w:bCs/>
        </w:rPr>
        <w:t>Jonatan Alberto Aybar Ortega</w:t>
      </w:r>
      <w:r w:rsidRPr="00E41648">
        <w:t xml:space="preserve"> a </w:t>
      </w:r>
      <w:r w:rsidRPr="00E41648">
        <w:rPr>
          <w:b/>
          <w:bCs/>
        </w:rPr>
        <w:t>dos años de prisión en suspenso</w:t>
      </w:r>
      <w:r w:rsidRPr="00E41648">
        <w:t>, como coautor del delito de evasión tributaria simple.</w:t>
      </w:r>
    </w:p>
    <w:p w14:paraId="173112E5" w14:textId="77777777" w:rsidR="00E41648" w:rsidRPr="00E41648" w:rsidRDefault="00E41648" w:rsidP="00E41648">
      <w:r w:rsidRPr="00E41648">
        <w:t xml:space="preserve">Asimismo, unificó esa sanción con otra condena anterior impuesta por el Tribunal Oral en lo Penal Económico N.º 2, fijando una </w:t>
      </w:r>
      <w:r w:rsidRPr="00E41648">
        <w:rPr>
          <w:b/>
          <w:bCs/>
        </w:rPr>
        <w:t>pena única de dos años y seis meses de prisión de ejecución condicional</w:t>
      </w:r>
      <w:r w:rsidRPr="00E41648">
        <w:t>.</w:t>
      </w:r>
    </w:p>
    <w:p w14:paraId="50AE9CC1" w14:textId="77777777" w:rsidR="00E41648" w:rsidRPr="00E41648" w:rsidRDefault="00E41648" w:rsidP="00E41648">
      <w:r w:rsidRPr="00E41648">
        <w:t xml:space="preserve">Respecto de </w:t>
      </w:r>
      <w:r w:rsidRPr="00E41648">
        <w:rPr>
          <w:b/>
          <w:bCs/>
        </w:rPr>
        <w:t>Aceros y Construcciones S.A.</w:t>
      </w:r>
      <w:r w:rsidRPr="00E41648">
        <w:t>, dispuso como sanción la publicación de un extracto de la sentencia condenatoria durante tres días en un medio de publicación nacional.</w:t>
      </w:r>
    </w:p>
    <w:p w14:paraId="55C06F7B" w14:textId="77777777" w:rsidR="00E41648" w:rsidRPr="00E41648" w:rsidRDefault="00E41648" w:rsidP="00E41648">
      <w:pPr>
        <w:rPr>
          <w:b/>
          <w:bCs/>
        </w:rPr>
      </w:pPr>
      <w:r w:rsidRPr="00E41648">
        <w:rPr>
          <w:b/>
          <w:bCs/>
        </w:rPr>
        <w:t>Entrada en vigencia de la ley 27.799</w:t>
      </w:r>
    </w:p>
    <w:p w14:paraId="52819394" w14:textId="77777777" w:rsidR="00E41648" w:rsidRPr="00E41648" w:rsidRDefault="00E41648" w:rsidP="00E41648">
      <w:r w:rsidRPr="00E41648">
        <w:t xml:space="preserve">Antes de que aquella sentencia adquiriera firmeza, el </w:t>
      </w:r>
      <w:r w:rsidRPr="00E41648">
        <w:rPr>
          <w:b/>
          <w:bCs/>
        </w:rPr>
        <w:t>2 de enero de 2026</w:t>
      </w:r>
      <w:r w:rsidRPr="00E41648">
        <w:t xml:space="preserve"> entró en vigencia la </w:t>
      </w:r>
      <w:r w:rsidRPr="00E41648">
        <w:rPr>
          <w:b/>
          <w:bCs/>
        </w:rPr>
        <w:t>ley 27.799</w:t>
      </w:r>
      <w:r w:rsidRPr="00E41648">
        <w:t xml:space="preserve">, que elevó el umbral de punibilidad correspondiente a la evasión tributaria simple a </w:t>
      </w:r>
      <w:r w:rsidRPr="00E41648">
        <w:rPr>
          <w:b/>
          <w:bCs/>
        </w:rPr>
        <w:t>$100.000.000</w:t>
      </w:r>
      <w:r w:rsidRPr="00E41648">
        <w:t>.</w:t>
      </w:r>
    </w:p>
    <w:p w14:paraId="5007830F" w14:textId="77777777" w:rsidR="00E41648" w:rsidRPr="00E41648" w:rsidRDefault="00E41648" w:rsidP="00E41648">
      <w:r w:rsidRPr="00E41648">
        <w:t xml:space="preserve">El 3 de febrero de 2026, la defensa planteó una excepción de falta de acción y solicitó el sobreseimiento de los condenados por aplicación retroactiva de la nueva ley como </w:t>
      </w:r>
      <w:r w:rsidRPr="00E41648">
        <w:rPr>
          <w:b/>
          <w:bCs/>
        </w:rPr>
        <w:t>ley penal más benigna</w:t>
      </w:r>
      <w:r w:rsidRPr="00E41648">
        <w:t>.</w:t>
      </w:r>
    </w:p>
    <w:p w14:paraId="4B3BBEAD" w14:textId="77777777" w:rsidR="00E41648" w:rsidRPr="00E41648" w:rsidRDefault="00E41648" w:rsidP="00E41648">
      <w:r w:rsidRPr="00E41648">
        <w:t xml:space="preserve">El Tribunal Oral hizo lugar al planteo y, el </w:t>
      </w:r>
      <w:r w:rsidRPr="00E41648">
        <w:rPr>
          <w:b/>
          <w:bCs/>
        </w:rPr>
        <w:t>18 de marzo de 2026</w:t>
      </w:r>
      <w:r w:rsidRPr="00E41648">
        <w:t>, sobreseyó a Aybar Ortega y a Aceros y Construcciones S.A. respecto del impuesto a las ganancias del ejercicio 2017, dejando sin efecto la sentencia del 22 de diciembre de 2025.</w:t>
      </w:r>
    </w:p>
    <w:p w14:paraId="4E0EBFB9" w14:textId="77777777" w:rsidR="00E41648" w:rsidRPr="00E41648" w:rsidRDefault="00E41648" w:rsidP="00E41648">
      <w:r w:rsidRPr="00E41648">
        <w:t xml:space="preserve">El tribunal consideró determinante que los </w:t>
      </w:r>
      <w:r w:rsidRPr="00E41648">
        <w:rPr>
          <w:b/>
          <w:bCs/>
        </w:rPr>
        <w:t>$2.247.650,69</w:t>
      </w:r>
      <w:r w:rsidRPr="00E41648">
        <w:t xml:space="preserve"> objeto de la condena quedaban ampliamente por debajo del nuevo umbral de $100.000.000 y aplicó el art. 2 CP conforme a la doctrina de la Corte Suprema en </w:t>
      </w:r>
      <w:r w:rsidRPr="00E41648">
        <w:rPr>
          <w:b/>
          <w:bCs/>
        </w:rPr>
        <w:t>“Palero” y “Vidal”</w:t>
      </w:r>
      <w:r w:rsidRPr="00E41648">
        <w:t>.</w:t>
      </w:r>
    </w:p>
    <w:p w14:paraId="26DE03FC" w14:textId="77777777" w:rsidR="00E41648" w:rsidRPr="00E41648" w:rsidRDefault="00E41648" w:rsidP="00E41648">
      <w:r w:rsidRPr="00E41648">
        <w:t xml:space="preserve">Contra ese sobreseimiento recurrió exclusivamente el </w:t>
      </w:r>
      <w:r w:rsidRPr="00E41648">
        <w:rPr>
          <w:b/>
          <w:bCs/>
        </w:rPr>
        <w:t>Ministerio Público Fiscal</w:t>
      </w:r>
      <w:r w:rsidRPr="00E41648">
        <w:t>.</w:t>
      </w:r>
    </w:p>
    <w:p w14:paraId="2E4BA3FA" w14:textId="77777777" w:rsidR="00E41648" w:rsidRPr="00E41648" w:rsidRDefault="003770F1" w:rsidP="00E41648">
      <w:r>
        <w:pict w14:anchorId="14C75A12">
          <v:rect id="_x0000_i1032" style="width:0;height:1.5pt" o:hralign="center" o:hrstd="t" o:hr="t" fillcolor="#a0a0a0" stroked="f"/>
        </w:pict>
      </w:r>
    </w:p>
    <w:p w14:paraId="26DE87F6" w14:textId="77777777" w:rsidR="00E41648" w:rsidRPr="00E41648" w:rsidRDefault="00E41648" w:rsidP="00E41648">
      <w:pPr>
        <w:rPr>
          <w:b/>
          <w:bCs/>
        </w:rPr>
      </w:pPr>
      <w:r w:rsidRPr="00E41648">
        <w:rPr>
          <w:b/>
          <w:bCs/>
        </w:rPr>
        <w:t>2. Cuestión jurídica central</w:t>
      </w:r>
    </w:p>
    <w:p w14:paraId="4212AF8D" w14:textId="77777777" w:rsidR="00E41648" w:rsidRPr="00E41648" w:rsidRDefault="00E41648" w:rsidP="00E41648">
      <w:r w:rsidRPr="00E41648">
        <w:t xml:space="preserve">El problema sometido a Casación consistió en determinar </w:t>
      </w:r>
      <w:r w:rsidRPr="00E41648">
        <w:rPr>
          <w:b/>
          <w:bCs/>
        </w:rPr>
        <w:t>qué naturaleza jurídica debía atribuirse a la elevación de los montos de punibilidad dispuesta por la ley 27.799</w:t>
      </w:r>
      <w:r w:rsidRPr="00E41648">
        <w:t>.</w:t>
      </w:r>
    </w:p>
    <w:p w14:paraId="61E57D20" w14:textId="77777777" w:rsidR="00E41648" w:rsidRPr="00E41648" w:rsidRDefault="00E41648" w:rsidP="00E41648">
      <w:r w:rsidRPr="00E41648">
        <w:t>Las dos interpretaciones enfrentadas eran:</w:t>
      </w:r>
    </w:p>
    <w:p w14:paraId="3BFE2AB6" w14:textId="77777777" w:rsidR="00E41648" w:rsidRPr="00E41648" w:rsidRDefault="00E41648" w:rsidP="00447176">
      <w:pPr>
        <w:numPr>
          <w:ilvl w:val="0"/>
          <w:numId w:val="5"/>
        </w:numPr>
      </w:pPr>
      <w:r w:rsidRPr="00E41648">
        <w:rPr>
          <w:b/>
          <w:bCs/>
        </w:rPr>
        <w:t>Fiscalía:</w:t>
      </w:r>
      <w:r w:rsidRPr="00E41648">
        <w:t xml:space="preserve"> el aumento constituía una mera </w:t>
      </w:r>
      <w:r w:rsidRPr="00E41648">
        <w:rPr>
          <w:b/>
          <w:bCs/>
        </w:rPr>
        <w:t>actualización monetaria</w:t>
      </w:r>
      <w:r w:rsidRPr="00E41648">
        <w:t xml:space="preserve"> de los valores del Régimen Penal Tributario y, por ello, no expresaba una modificación de la valoración jurídico-penal de las conductas anteriores.</w:t>
      </w:r>
    </w:p>
    <w:p w14:paraId="20B96C26" w14:textId="77777777" w:rsidR="00E41648" w:rsidRPr="00E41648" w:rsidRDefault="00E41648" w:rsidP="00447176">
      <w:pPr>
        <w:numPr>
          <w:ilvl w:val="0"/>
          <w:numId w:val="5"/>
        </w:numPr>
      </w:pPr>
      <w:r w:rsidRPr="00E41648">
        <w:rPr>
          <w:b/>
          <w:bCs/>
        </w:rPr>
        <w:t>Defensa:</w:t>
      </w:r>
      <w:r w:rsidRPr="00E41648">
        <w:t xml:space="preserve"> la modificación de los umbrales incidía sobre la </w:t>
      </w:r>
      <w:r w:rsidRPr="00E41648">
        <w:rPr>
          <w:b/>
          <w:bCs/>
        </w:rPr>
        <w:t>tipicidad o punibilidad de la conducta</w:t>
      </w:r>
      <w:r w:rsidRPr="00E41648">
        <w:t>, por lo cual debía aplicarse retroactivamente conforme al principio de ley penal más benigna del art. 2 CP.</w:t>
      </w:r>
    </w:p>
    <w:p w14:paraId="0476B417" w14:textId="77777777" w:rsidR="00E41648" w:rsidRPr="00E41648" w:rsidRDefault="00E41648" w:rsidP="00E41648">
      <w:r w:rsidRPr="00E41648">
        <w:t xml:space="preserve">La cuestión adquiría especial relevancia porque la ley 27.799, a diferencia de reformas anteriores, incorporó además un </w:t>
      </w:r>
      <w:r w:rsidRPr="00E41648">
        <w:rPr>
          <w:b/>
          <w:bCs/>
        </w:rPr>
        <w:t>mecanismo de actualización periódica de los montos</w:t>
      </w:r>
      <w:r w:rsidRPr="00E41648">
        <w:t>, circunstancia utilizada por la Fiscalía para intentar distinguir este caso de los precedentes “Palero” y “Vidal”.</w:t>
      </w:r>
    </w:p>
    <w:p w14:paraId="58E7985E" w14:textId="77777777" w:rsidR="00E41648" w:rsidRPr="00E41648" w:rsidRDefault="003770F1" w:rsidP="00E41648">
      <w:r>
        <w:pict w14:anchorId="3ED72427">
          <v:rect id="_x0000_i1033" style="width:0;height:1.5pt" o:hralign="center" o:hrstd="t" o:hr="t" fillcolor="#a0a0a0" stroked="f"/>
        </w:pict>
      </w:r>
    </w:p>
    <w:p w14:paraId="47CD28F6" w14:textId="77777777" w:rsidR="00E41648" w:rsidRPr="00E41648" w:rsidRDefault="00E41648" w:rsidP="00E41648">
      <w:pPr>
        <w:rPr>
          <w:b/>
          <w:bCs/>
        </w:rPr>
      </w:pPr>
      <w:r w:rsidRPr="00E41648">
        <w:rPr>
          <w:b/>
          <w:bCs/>
        </w:rPr>
        <w:t>3. Postura del Ministerio Público Fiscal</w:t>
      </w:r>
    </w:p>
    <w:p w14:paraId="24A944E7" w14:textId="77777777" w:rsidR="00E41648" w:rsidRPr="00E41648" w:rsidRDefault="00E41648" w:rsidP="00E41648">
      <w:r w:rsidRPr="00E41648">
        <w:lastRenderedPageBreak/>
        <w:t xml:space="preserve">El Ministerio Público Fiscal fue el </w:t>
      </w:r>
      <w:r w:rsidRPr="00E41648">
        <w:rPr>
          <w:b/>
          <w:bCs/>
        </w:rPr>
        <w:t>recurrente</w:t>
      </w:r>
      <w:r w:rsidRPr="00E41648">
        <w:t>.</w:t>
      </w:r>
    </w:p>
    <w:p w14:paraId="0CC51C1A" w14:textId="77777777" w:rsidR="00E41648" w:rsidRPr="00E41648" w:rsidRDefault="00E41648" w:rsidP="00E41648">
      <w:r w:rsidRPr="00E41648">
        <w:t xml:space="preserve">Sostuvo que el Tribunal Oral había aplicado erróneamente el </w:t>
      </w:r>
      <w:r w:rsidRPr="00E41648">
        <w:rPr>
          <w:b/>
          <w:bCs/>
        </w:rPr>
        <w:t>art. 2 CP</w:t>
      </w:r>
      <w:r w:rsidRPr="00E41648">
        <w:t>, porque la ley 27.799 no debía considerarse una ley penal más benigna respecto de los hechos cometidos anteriormente.</w:t>
      </w:r>
    </w:p>
    <w:p w14:paraId="00D3BE2F" w14:textId="77777777" w:rsidR="00E41648" w:rsidRPr="00E41648" w:rsidRDefault="00E41648" w:rsidP="00E41648">
      <w:pPr>
        <w:rPr>
          <w:b/>
          <w:bCs/>
        </w:rPr>
      </w:pPr>
      <w:r w:rsidRPr="00E41648">
        <w:rPr>
          <w:b/>
          <w:bCs/>
        </w:rPr>
        <w:t>a. Mera actualización monetaria</w:t>
      </w:r>
    </w:p>
    <w:p w14:paraId="5633AF0B" w14:textId="77777777" w:rsidR="00E41648" w:rsidRPr="00E41648" w:rsidRDefault="00E41648" w:rsidP="00E41648">
      <w:r w:rsidRPr="00E41648">
        <w:t xml:space="preserve">Para la Fiscalía, el incremento de los umbrales obedecía exclusivamente a una </w:t>
      </w:r>
      <w:r w:rsidRPr="00E41648">
        <w:rPr>
          <w:b/>
          <w:bCs/>
        </w:rPr>
        <w:t>actualización monetaria</w:t>
      </w:r>
      <w:r w:rsidRPr="00E41648">
        <w:t>, no a una modificación del tipo penal ni a un cambio en la valoración social de las conductas reprimidas.</w:t>
      </w:r>
    </w:p>
    <w:p w14:paraId="17CF2C04" w14:textId="77777777" w:rsidR="00E41648" w:rsidRPr="00E41648" w:rsidRDefault="00E41648" w:rsidP="00E41648">
      <w:r w:rsidRPr="00E41648">
        <w:t xml:space="preserve">Por ello, debía aplicarse la norma vigente </w:t>
      </w:r>
      <w:r w:rsidRPr="00E41648">
        <w:rPr>
          <w:b/>
          <w:bCs/>
        </w:rPr>
        <w:t>al momento de comisión del hecho</w:t>
      </w:r>
      <w:r w:rsidRPr="00E41648">
        <w:t>.</w:t>
      </w:r>
    </w:p>
    <w:p w14:paraId="01D84D6E" w14:textId="77777777" w:rsidR="00E41648" w:rsidRPr="00E41648" w:rsidRDefault="00E41648" w:rsidP="00E41648">
      <w:pPr>
        <w:rPr>
          <w:b/>
          <w:bCs/>
        </w:rPr>
      </w:pPr>
      <w:r w:rsidRPr="00E41648">
        <w:rPr>
          <w:b/>
          <w:bCs/>
        </w:rPr>
        <w:t>b. Mecanismo de actualización por UVA</w:t>
      </w:r>
    </w:p>
    <w:p w14:paraId="621F1C5F" w14:textId="77777777" w:rsidR="00E41648" w:rsidRPr="00E41648" w:rsidRDefault="00E41648" w:rsidP="00E41648">
      <w:r w:rsidRPr="00E41648">
        <w:t xml:space="preserve">El Fiscal puso especial énfasis en que la propia ley 27.799 estableció un mecanismo de actualización anual vinculado con la </w:t>
      </w:r>
      <w:r w:rsidRPr="00E41648">
        <w:rPr>
          <w:b/>
          <w:bCs/>
        </w:rPr>
        <w:t>Unidad de Valor Adquisitivo (UVA)</w:t>
      </w:r>
      <w:r w:rsidRPr="00E41648">
        <w:t>.</w:t>
      </w:r>
    </w:p>
    <w:p w14:paraId="5E90572E" w14:textId="77777777" w:rsidR="00E41648" w:rsidRPr="00E41648" w:rsidRDefault="00E41648" w:rsidP="00E41648">
      <w:r w:rsidRPr="00E41648">
        <w:t>A su criterio, esto demostraba que la finalidad legislativa era simplemente mantener actualizados los valores monetarios y no desincriminar conductas anteriormente punibles.</w:t>
      </w:r>
    </w:p>
    <w:p w14:paraId="626D7B6A" w14:textId="77777777" w:rsidR="00E41648" w:rsidRPr="00E41648" w:rsidRDefault="00E41648" w:rsidP="00E41648">
      <w:pPr>
        <w:rPr>
          <w:b/>
          <w:bCs/>
        </w:rPr>
      </w:pPr>
      <w:r w:rsidRPr="00E41648">
        <w:rPr>
          <w:b/>
          <w:bCs/>
        </w:rPr>
        <w:t>c. Inaplicabilidad de “Palero” y “Vidal”</w:t>
      </w:r>
    </w:p>
    <w:p w14:paraId="1D248D71" w14:textId="77777777" w:rsidR="00E41648" w:rsidRPr="00E41648" w:rsidRDefault="00E41648" w:rsidP="00E41648">
      <w:r w:rsidRPr="00E41648">
        <w:t xml:space="preserve">La Fiscalía intentó diferenciar el caso de los precedentes </w:t>
      </w:r>
      <w:r w:rsidRPr="00E41648">
        <w:rPr>
          <w:b/>
          <w:bCs/>
        </w:rPr>
        <w:t>“Palero” y “Vidal”</w:t>
      </w:r>
      <w:r w:rsidRPr="00E41648">
        <w:t>, porque aquellas causas versaban sobre reformas que simplemente elevaban los montos, mientras que la ley 27.799 incorporaba expresamente un sistema permanente de actualización.</w:t>
      </w:r>
    </w:p>
    <w:p w14:paraId="1E52EC2A" w14:textId="77777777" w:rsidR="00E41648" w:rsidRPr="00E41648" w:rsidRDefault="00E41648" w:rsidP="00E41648">
      <w:pPr>
        <w:rPr>
          <w:b/>
          <w:bCs/>
        </w:rPr>
      </w:pPr>
      <w:r w:rsidRPr="00E41648">
        <w:rPr>
          <w:b/>
          <w:bCs/>
        </w:rPr>
        <w:t>d. Mayor desvalor de la conducta investigada</w:t>
      </w:r>
    </w:p>
    <w:p w14:paraId="6E3ABF01" w14:textId="77777777" w:rsidR="00E41648" w:rsidRPr="00E41648" w:rsidRDefault="00E41648" w:rsidP="00E41648">
      <w:r w:rsidRPr="00E41648">
        <w:t>Finalmente, destacó las características concretas de la maniobra: utilización de facturas apócrifas, incorporación de gastos inexistentes y existencia de un entramado destinado a afectar los mecanismos estatales de control, fiscalización y recaudación.</w:t>
      </w:r>
    </w:p>
    <w:p w14:paraId="5EBE6898" w14:textId="77777777" w:rsidR="00E41648" w:rsidRPr="00E41648" w:rsidRDefault="00E41648" w:rsidP="00E41648">
      <w:r w:rsidRPr="00E41648">
        <w:t>Según el Fiscal, el desvalor penal no podía reducirse al monto económico evadido, pues existía una afectación cualitativa significativa del interés público.</w:t>
      </w:r>
    </w:p>
    <w:p w14:paraId="49BF8A53" w14:textId="77777777" w:rsidR="00E41648" w:rsidRPr="00E41648" w:rsidRDefault="00E41648" w:rsidP="00E41648">
      <w:r w:rsidRPr="00E41648">
        <w:t>Por ello solicitó dejar sin efecto los sobreseimientos.</w:t>
      </w:r>
    </w:p>
    <w:p w14:paraId="542A7CB3" w14:textId="77777777" w:rsidR="00E41648" w:rsidRPr="00E41648" w:rsidRDefault="003770F1" w:rsidP="00E41648">
      <w:r>
        <w:pict w14:anchorId="5E92CE2C">
          <v:rect id="_x0000_i1034" style="width:0;height:1.5pt" o:hralign="center" o:hrstd="t" o:hr="t" fillcolor="#a0a0a0" stroked="f"/>
        </w:pict>
      </w:r>
    </w:p>
    <w:p w14:paraId="7CFEC41A" w14:textId="77777777" w:rsidR="00E41648" w:rsidRPr="00E41648" w:rsidRDefault="00E41648" w:rsidP="00E41648">
      <w:pPr>
        <w:rPr>
          <w:b/>
          <w:bCs/>
        </w:rPr>
      </w:pPr>
      <w:r w:rsidRPr="00E41648">
        <w:rPr>
          <w:b/>
          <w:bCs/>
        </w:rPr>
        <w:t>4. Postura de la defensa</w:t>
      </w:r>
    </w:p>
    <w:p w14:paraId="54B61AEC" w14:textId="77777777" w:rsidR="00E41648" w:rsidRPr="00E41648" w:rsidRDefault="00E41648" w:rsidP="00E41648">
      <w:r w:rsidRPr="00E41648">
        <w:t>Las defensas de ambos imputados sostuvieron la corrección de la decisión del Tribunal Oral.</w:t>
      </w:r>
    </w:p>
    <w:p w14:paraId="6933A4C7" w14:textId="77777777" w:rsidR="00E41648" w:rsidRPr="00E41648" w:rsidRDefault="00E41648" w:rsidP="00E41648">
      <w:r w:rsidRPr="00E41648">
        <w:t xml:space="preserve">La defensa particular de </w:t>
      </w:r>
      <w:r w:rsidRPr="00E41648">
        <w:rPr>
          <w:b/>
          <w:bCs/>
        </w:rPr>
        <w:t>Aybar Ortega</w:t>
      </w:r>
      <w:r w:rsidRPr="00E41648">
        <w:t xml:space="preserve"> solicitó directamente el </w:t>
      </w:r>
      <w:r w:rsidRPr="00E41648">
        <w:rPr>
          <w:b/>
          <w:bCs/>
        </w:rPr>
        <w:t>rechazo del recurso fiscal</w:t>
      </w:r>
      <w:r w:rsidRPr="00E41648">
        <w:t>.</w:t>
      </w:r>
    </w:p>
    <w:p w14:paraId="7D454659" w14:textId="77777777" w:rsidR="00E41648" w:rsidRPr="00E41648" w:rsidRDefault="00E41648" w:rsidP="00E41648">
      <w:r w:rsidRPr="00E41648">
        <w:t xml:space="preserve">La Defensora Pública Coadyuvante, por </w:t>
      </w:r>
      <w:r w:rsidRPr="00E41648">
        <w:rPr>
          <w:b/>
          <w:bCs/>
        </w:rPr>
        <w:t>Aceros y Construcciones S.A.</w:t>
      </w:r>
      <w:r w:rsidRPr="00E41648">
        <w:t xml:space="preserve">, planteó en primer término que el recurso debía ser declarado </w:t>
      </w:r>
      <w:r w:rsidRPr="00E41648">
        <w:rPr>
          <w:b/>
          <w:bCs/>
        </w:rPr>
        <w:t>mal concedido</w:t>
      </w:r>
      <w:r w:rsidRPr="00E41648">
        <w:t xml:space="preserve"> y, subsidiariamente, solicitó su rechazo y la confirmación del sobreseimiento.</w:t>
      </w:r>
    </w:p>
    <w:p w14:paraId="65A8BF4A" w14:textId="77777777" w:rsidR="00E41648" w:rsidRPr="00E41648" w:rsidRDefault="00E41648" w:rsidP="00E41648">
      <w:r w:rsidRPr="00E41648">
        <w:t>La defensa particular de Aybar Ortega reiteró posteriormente su petición de rechazo del recurso fiscal.</w:t>
      </w:r>
    </w:p>
    <w:p w14:paraId="15BF5692" w14:textId="77777777" w:rsidR="00E41648" w:rsidRPr="00E41648" w:rsidRDefault="00E41648" w:rsidP="00E41648">
      <w:r w:rsidRPr="00E41648">
        <w:t xml:space="preserve">La posición sustancial defensiva consistía en que la ley 27.799, al elevar el mínimo de punibilidad de la evasión simple a $100.000.000, constituía una </w:t>
      </w:r>
      <w:r w:rsidRPr="00E41648">
        <w:rPr>
          <w:b/>
          <w:bCs/>
        </w:rPr>
        <w:t>ley penal posterior más favorable</w:t>
      </w:r>
      <w:r w:rsidRPr="00E41648">
        <w:t>, que debía aplicarse retroactivamente conforme al art. 2 CP.</w:t>
      </w:r>
    </w:p>
    <w:p w14:paraId="6868ECF6" w14:textId="77777777" w:rsidR="00E41648" w:rsidRPr="00E41648" w:rsidRDefault="00E41648" w:rsidP="00E41648">
      <w:r w:rsidRPr="00E41648">
        <w:lastRenderedPageBreak/>
        <w:t xml:space="preserve">Dado que los </w:t>
      </w:r>
      <w:r w:rsidRPr="00E41648">
        <w:rPr>
          <w:b/>
          <w:bCs/>
        </w:rPr>
        <w:t>$2.247.650,69</w:t>
      </w:r>
      <w:r w:rsidRPr="00E41648">
        <w:t xml:space="preserve"> atribuidos en la causa estaban muy por debajo del nuevo umbral, el hecho había perdido relevancia penal.</w:t>
      </w:r>
    </w:p>
    <w:p w14:paraId="1C5795FA" w14:textId="77777777" w:rsidR="00E41648" w:rsidRPr="00E41648" w:rsidRDefault="003770F1" w:rsidP="00E41648">
      <w:r>
        <w:pict w14:anchorId="40FC5E4D">
          <v:rect id="_x0000_i1035" style="width:0;height:1.5pt" o:hralign="center" o:hrstd="t" o:hr="t" fillcolor="#a0a0a0" stroked="f"/>
        </w:pict>
      </w:r>
    </w:p>
    <w:p w14:paraId="67214DEB" w14:textId="77777777" w:rsidR="00E41648" w:rsidRPr="00E41648" w:rsidRDefault="00E41648" w:rsidP="00E41648">
      <w:pPr>
        <w:rPr>
          <w:b/>
          <w:bCs/>
        </w:rPr>
      </w:pPr>
      <w:r w:rsidRPr="00E41648">
        <w:rPr>
          <w:b/>
          <w:bCs/>
        </w:rPr>
        <w:t>5. Querella</w:t>
      </w:r>
    </w:p>
    <w:p w14:paraId="03B70FC2" w14:textId="77777777" w:rsidR="00E41648" w:rsidRPr="00E41648" w:rsidRDefault="00E41648" w:rsidP="00E41648">
      <w:r w:rsidRPr="00E41648">
        <w:rPr>
          <w:b/>
          <w:bCs/>
        </w:rPr>
        <w:t>No surge del fallo la intervención de una parte querellante en esta instancia.</w:t>
      </w:r>
    </w:p>
    <w:p w14:paraId="20E441B9" w14:textId="77777777" w:rsidR="00E41648" w:rsidRPr="00E41648" w:rsidRDefault="00E41648" w:rsidP="00E41648">
      <w:r w:rsidRPr="00E41648">
        <w:t xml:space="preserve">La controversia se desarrolló entre el </w:t>
      </w:r>
      <w:r w:rsidRPr="00E41648">
        <w:rPr>
          <w:b/>
          <w:bCs/>
        </w:rPr>
        <w:t>Ministerio Público Fiscal</w:t>
      </w:r>
      <w:r w:rsidRPr="00E41648">
        <w:t>, como recurrente, y las defensas de Aybar Ortega y Aceros y Construcciones S.A.</w:t>
      </w:r>
    </w:p>
    <w:p w14:paraId="6FBA0B2E" w14:textId="77777777" w:rsidR="00E41648" w:rsidRPr="00E41648" w:rsidRDefault="003770F1" w:rsidP="00E41648">
      <w:r>
        <w:pict w14:anchorId="2CBA9487">
          <v:rect id="_x0000_i1036" style="width:0;height:1.5pt" o:hralign="center" o:hrstd="t" o:hr="t" fillcolor="#a0a0a0" stroked="f"/>
        </w:pict>
      </w:r>
    </w:p>
    <w:p w14:paraId="4F4BCDA9" w14:textId="77777777" w:rsidR="00E41648" w:rsidRPr="00E41648" w:rsidRDefault="00E41648" w:rsidP="00E41648">
      <w:pPr>
        <w:rPr>
          <w:b/>
          <w:bCs/>
        </w:rPr>
      </w:pPr>
      <w:r w:rsidRPr="00E41648">
        <w:rPr>
          <w:b/>
          <w:bCs/>
        </w:rPr>
        <w:t>6. Voto de Mariano Hernán Borinsky</w:t>
      </w:r>
    </w:p>
    <w:p w14:paraId="2A1DA03E" w14:textId="77777777" w:rsidR="00E41648" w:rsidRPr="00E41648" w:rsidRDefault="00E41648" w:rsidP="00E41648">
      <w:r w:rsidRPr="00E41648">
        <w:t xml:space="preserve">Borinsky votó por </w:t>
      </w:r>
      <w:r w:rsidRPr="00E41648">
        <w:rPr>
          <w:b/>
          <w:bCs/>
        </w:rPr>
        <w:t>rechazar el recurso fiscal</w:t>
      </w:r>
      <w:r w:rsidRPr="00E41648">
        <w:t xml:space="preserve"> y confirmar, en consecuencia, la decisión favorable a los imputados.</w:t>
      </w:r>
    </w:p>
    <w:p w14:paraId="4D9927D0" w14:textId="77777777" w:rsidR="00E41648" w:rsidRPr="00E41648" w:rsidRDefault="00E41648" w:rsidP="00E41648">
      <w:r w:rsidRPr="00E41648">
        <w:t>Su voto desarrolla ampliamente la naturaleza de la reforma introducida por la ley 27.799.</w:t>
      </w:r>
    </w:p>
    <w:p w14:paraId="079946BC" w14:textId="77777777" w:rsidR="00E41648" w:rsidRPr="00E41648" w:rsidRDefault="00E41648" w:rsidP="00E41648">
      <w:pPr>
        <w:rPr>
          <w:b/>
          <w:bCs/>
        </w:rPr>
      </w:pPr>
      <w:r w:rsidRPr="00E41648">
        <w:rPr>
          <w:b/>
          <w:bCs/>
        </w:rPr>
        <w:t>a. Aplicación del art. 2 del Código Penal</w:t>
      </w:r>
    </w:p>
    <w:p w14:paraId="1E3B4A8E" w14:textId="77777777" w:rsidR="00E41648" w:rsidRPr="00E41648" w:rsidRDefault="00E41648" w:rsidP="00E41648">
      <w:r w:rsidRPr="00E41648">
        <w:t xml:space="preserve">Para Borinsky, la ley 27.799 es aplicable retroactivamente porque constituye una </w:t>
      </w:r>
      <w:r w:rsidRPr="00E41648">
        <w:rPr>
          <w:b/>
          <w:bCs/>
        </w:rPr>
        <w:t>ley penal más benigna</w:t>
      </w:r>
      <w:r w:rsidRPr="00E41648">
        <w:t>.</w:t>
      </w:r>
    </w:p>
    <w:p w14:paraId="63A7DC29" w14:textId="77777777" w:rsidR="00E41648" w:rsidRPr="00E41648" w:rsidRDefault="00E41648" w:rsidP="00E41648">
      <w:r w:rsidRPr="00E41648">
        <w:t xml:space="preserve">El dato objetivo es que, antes de que adquiriera firmeza la sentencia condenatoria del 22 de diciembre de 2025, entró en vigencia la ley que elevó a </w:t>
      </w:r>
      <w:r w:rsidRPr="00E41648">
        <w:rPr>
          <w:b/>
          <w:bCs/>
        </w:rPr>
        <w:t>$100.000.000</w:t>
      </w:r>
      <w:r w:rsidRPr="00E41648">
        <w:t xml:space="preserve"> el monto mínimo necesario para configurar evasión tributaria simple.</w:t>
      </w:r>
    </w:p>
    <w:p w14:paraId="39B60209" w14:textId="77777777" w:rsidR="00E41648" w:rsidRPr="00E41648" w:rsidRDefault="00E41648" w:rsidP="00E41648">
      <w:pPr>
        <w:rPr>
          <w:b/>
          <w:bCs/>
        </w:rPr>
      </w:pPr>
      <w:r w:rsidRPr="00E41648">
        <w:rPr>
          <w:b/>
          <w:bCs/>
        </w:rPr>
        <w:t>b. Doctrina de “Palero”, “Soler” y “Vidal”</w:t>
      </w:r>
    </w:p>
    <w:p w14:paraId="1678F7C0" w14:textId="77777777" w:rsidR="00E41648" w:rsidRPr="00E41648" w:rsidRDefault="00E41648" w:rsidP="00E41648">
      <w:r w:rsidRPr="00E41648">
        <w:t xml:space="preserve">Borinsky recuerda que desde antes de “Vidal” venía sosteniendo la aplicación de la doctrina de la Corte Suprema establecida en </w:t>
      </w:r>
      <w:r w:rsidRPr="00E41648">
        <w:rPr>
          <w:b/>
          <w:bCs/>
        </w:rPr>
        <w:t>“Palero”</w:t>
      </w:r>
      <w:r w:rsidRPr="00E41648">
        <w:t xml:space="preserve"> y </w:t>
      </w:r>
      <w:r w:rsidRPr="00E41648">
        <w:rPr>
          <w:b/>
          <w:bCs/>
        </w:rPr>
        <w:t>“Soler”</w:t>
      </w:r>
      <w:r w:rsidRPr="00E41648">
        <w:t xml:space="preserve"> respecto de la retroactividad de las modificaciones favorables de los umbrales de punibilidad.</w:t>
      </w:r>
    </w:p>
    <w:p w14:paraId="39C54A7B" w14:textId="77777777" w:rsidR="00E41648" w:rsidRPr="00E41648" w:rsidRDefault="00E41648" w:rsidP="00E41648">
      <w:r w:rsidRPr="00E41648">
        <w:t xml:space="preserve">El punto central de su voto es la interpretación del precedente </w:t>
      </w:r>
      <w:r w:rsidRPr="00E41648">
        <w:rPr>
          <w:b/>
          <w:bCs/>
        </w:rPr>
        <w:t>“Vidal” (Fallos 344:3156)</w:t>
      </w:r>
      <w:r w:rsidRPr="00E41648">
        <w:t>.</w:t>
      </w:r>
    </w:p>
    <w:p w14:paraId="60C72055" w14:textId="77777777" w:rsidR="00E41648" w:rsidRPr="00E41648" w:rsidRDefault="00E41648" w:rsidP="00E41648">
      <w:r w:rsidRPr="00E41648">
        <w:t xml:space="preserve">Según Borinsky, “Vidal” </w:t>
      </w:r>
      <w:r w:rsidRPr="00E41648">
        <w:rPr>
          <w:b/>
          <w:bCs/>
        </w:rPr>
        <w:t>“zanjó en forma definitiva”</w:t>
      </w:r>
      <w:r w:rsidRPr="00E41648">
        <w:t xml:space="preserve"> la controversia: la modificación de los umbrales cuantitativos </w:t>
      </w:r>
      <w:r w:rsidRPr="00E41648">
        <w:rPr>
          <w:b/>
          <w:bCs/>
        </w:rPr>
        <w:t>incide directamente sobre la tipicidad de la conducta</w:t>
      </w:r>
      <w:r w:rsidRPr="00E41648">
        <w:t>.</w:t>
      </w:r>
    </w:p>
    <w:p w14:paraId="523039F0" w14:textId="77777777" w:rsidR="00E41648" w:rsidRPr="00E41648" w:rsidRDefault="00E41648" w:rsidP="00E41648">
      <w:r w:rsidRPr="00E41648">
        <w:t>Por ello, cuando el nuevo régimen excluye la relevancia penal de un hecho anteriormente punible, corresponde aplicar retroactivamente la nueva ley.</w:t>
      </w:r>
    </w:p>
    <w:p w14:paraId="1F2B9CF5" w14:textId="77777777" w:rsidR="00E41648" w:rsidRPr="00E41648" w:rsidRDefault="00E41648" w:rsidP="00E41648">
      <w:pPr>
        <w:rPr>
          <w:b/>
          <w:bCs/>
        </w:rPr>
      </w:pPr>
      <w:r w:rsidRPr="00E41648">
        <w:rPr>
          <w:b/>
          <w:bCs/>
        </w:rPr>
        <w:t>c. Decreto 93/2026</w:t>
      </w:r>
    </w:p>
    <w:p w14:paraId="673124A4" w14:textId="77777777" w:rsidR="00E41648" w:rsidRPr="00E41648" w:rsidRDefault="00E41648" w:rsidP="00E41648">
      <w:r w:rsidRPr="00E41648">
        <w:t xml:space="preserve">Borinsky encuentra un argumento adicional en la propia </w:t>
      </w:r>
      <w:r w:rsidRPr="00E41648">
        <w:rPr>
          <w:b/>
          <w:bCs/>
        </w:rPr>
        <w:t>reglamentación de la ley 27.799</w:t>
      </w:r>
      <w:r w:rsidRPr="00E41648">
        <w:t>.</w:t>
      </w:r>
    </w:p>
    <w:p w14:paraId="635785E9" w14:textId="77777777" w:rsidR="00E41648" w:rsidRPr="00E41648" w:rsidRDefault="00E41648" w:rsidP="00E41648">
      <w:r w:rsidRPr="00E41648">
        <w:t xml:space="preserve">Destaca que el art. 6 del </w:t>
      </w:r>
      <w:r w:rsidRPr="00E41648">
        <w:rPr>
          <w:b/>
          <w:bCs/>
        </w:rPr>
        <w:t>Decreto 93/2026</w:t>
      </w:r>
      <w:r w:rsidRPr="00E41648">
        <w:t xml:space="preserve"> dispone expresamente que, para evaluar la configuración de delitos tributarios correspondientes a hechos ocurridos </w:t>
      </w:r>
      <w:r w:rsidRPr="00E41648">
        <w:rPr>
          <w:b/>
          <w:bCs/>
        </w:rPr>
        <w:t>antes de la entrada en vigencia de la ley 27.799</w:t>
      </w:r>
      <w:r w:rsidRPr="00E41648">
        <w:t>, deben considerarse los nuevos importes establecidos por esa ley.</w:t>
      </w:r>
    </w:p>
    <w:p w14:paraId="2FB92FC9" w14:textId="77777777" w:rsidR="00E41648" w:rsidRPr="00E41648" w:rsidRDefault="00E41648" w:rsidP="00E41648">
      <w:r w:rsidRPr="00E41648">
        <w:t>Esto contradice directamente la interpretación fiscal según la cual los nuevos montos sólo tendrían efectos hacia el futuro.</w:t>
      </w:r>
    </w:p>
    <w:p w14:paraId="6E6AFA53" w14:textId="77777777" w:rsidR="00E41648" w:rsidRPr="00E41648" w:rsidRDefault="00E41648" w:rsidP="00E41648">
      <w:pPr>
        <w:rPr>
          <w:b/>
          <w:bCs/>
        </w:rPr>
      </w:pPr>
      <w:r w:rsidRPr="00E41648">
        <w:rPr>
          <w:b/>
          <w:bCs/>
        </w:rPr>
        <w:t>d. Aplicación concreta</w:t>
      </w:r>
    </w:p>
    <w:p w14:paraId="191226DC" w14:textId="77777777" w:rsidR="00E41648" w:rsidRPr="00E41648" w:rsidRDefault="00E41648" w:rsidP="00E41648">
      <w:r w:rsidRPr="00E41648">
        <w:lastRenderedPageBreak/>
        <w:t xml:space="preserve">El hecho atribuido consistió en la evasión del impuesto a las ganancias del ejercicio 2017 por </w:t>
      </w:r>
      <w:r w:rsidRPr="00E41648">
        <w:rPr>
          <w:b/>
          <w:bCs/>
        </w:rPr>
        <w:t>$2.247.650,69</w:t>
      </w:r>
      <w:r w:rsidRPr="00E41648">
        <w:t>.</w:t>
      </w:r>
    </w:p>
    <w:p w14:paraId="68697E31" w14:textId="77777777" w:rsidR="00E41648" w:rsidRPr="00E41648" w:rsidRDefault="00E41648" w:rsidP="00E41648">
      <w:r w:rsidRPr="00E41648">
        <w:t xml:space="preserve">Al ser esa cifra inferior a los $100.000.000 actualmente requeridos, Borinsky concluye expresamente que tales hechos </w:t>
      </w:r>
      <w:r w:rsidRPr="00E41648">
        <w:rPr>
          <w:b/>
          <w:bCs/>
        </w:rPr>
        <w:t>“han dejado de ser delito”</w:t>
      </w:r>
      <w:r w:rsidRPr="00E41648">
        <w:t>.</w:t>
      </w:r>
    </w:p>
    <w:p w14:paraId="321B0773" w14:textId="77777777" w:rsidR="00E41648" w:rsidRPr="00E41648" w:rsidRDefault="00E41648" w:rsidP="00E41648">
      <w:pPr>
        <w:rPr>
          <w:b/>
          <w:bCs/>
        </w:rPr>
      </w:pPr>
      <w:r w:rsidRPr="00E41648">
        <w:rPr>
          <w:b/>
          <w:bCs/>
        </w:rPr>
        <w:t>e. Rechazo de la tesis de la mera actualización monetaria</w:t>
      </w:r>
    </w:p>
    <w:p w14:paraId="51F9A4F6" w14:textId="77777777" w:rsidR="00E41648" w:rsidRPr="00E41648" w:rsidRDefault="00E41648" w:rsidP="00E41648">
      <w:r w:rsidRPr="00E41648">
        <w:t>Este aspecto resulta particularmente importante.</w:t>
      </w:r>
    </w:p>
    <w:p w14:paraId="713A5791" w14:textId="77777777" w:rsidR="00E41648" w:rsidRPr="00E41648" w:rsidRDefault="00E41648" w:rsidP="00E41648">
      <w:r w:rsidRPr="00E41648">
        <w:t xml:space="preserve">Borinsky sostiene que la ley 27.799 </w:t>
      </w:r>
      <w:r w:rsidRPr="00E41648">
        <w:rPr>
          <w:b/>
          <w:bCs/>
        </w:rPr>
        <w:t>“no se limita a una actualización cuantitativa del Régimen Penal Tributario”</w:t>
      </w:r>
      <w:r w:rsidRPr="00E41648">
        <w:t>.</w:t>
      </w:r>
    </w:p>
    <w:p w14:paraId="663E4C96" w14:textId="77777777" w:rsidR="00E41648" w:rsidRPr="00E41648" w:rsidRDefault="00E41648" w:rsidP="00E41648">
      <w:r w:rsidRPr="00E41648">
        <w:t xml:space="preserve">Según su interpretación, la reforma expresa un </w:t>
      </w:r>
      <w:r w:rsidRPr="00E41648">
        <w:rPr>
          <w:b/>
          <w:bCs/>
        </w:rPr>
        <w:t>cambio de política criminal</w:t>
      </w:r>
      <w:r w:rsidRPr="00E41648">
        <w:t xml:space="preserve"> mucho más amplio: elevó los umbrales de punibilidad, amplió mecanismos de extinción de la acción penal, redujo determinados plazos de prescripción y limitó las denuncias automáticas.</w:t>
      </w:r>
    </w:p>
    <w:p w14:paraId="7F0CFA85" w14:textId="77777777" w:rsidR="00E41648" w:rsidRPr="00E41648" w:rsidRDefault="00E41648" w:rsidP="00E41648">
      <w:r w:rsidRPr="00E41648">
        <w:t xml:space="preserve">Todo ello demostraría una decisión legislativa de </w:t>
      </w:r>
      <w:r w:rsidRPr="00E41648">
        <w:rPr>
          <w:b/>
          <w:bCs/>
        </w:rPr>
        <w:t>reservar la intervención penal para los supuestos de mayor entidad lesiva</w:t>
      </w:r>
      <w:r w:rsidRPr="00E41648">
        <w:t>, desplazando los incumplimientos de menor significación económica hacia el ámbito administrativo sancionador.</w:t>
      </w:r>
    </w:p>
    <w:p w14:paraId="2FF3ACF7" w14:textId="77777777" w:rsidR="00E41648" w:rsidRPr="00E41648" w:rsidRDefault="00E41648" w:rsidP="00E41648">
      <w:pPr>
        <w:rPr>
          <w:b/>
          <w:bCs/>
        </w:rPr>
      </w:pPr>
      <w:r w:rsidRPr="00E41648">
        <w:rPr>
          <w:b/>
          <w:bCs/>
        </w:rPr>
        <w:t>Conclusión de Borinsky</w:t>
      </w:r>
    </w:p>
    <w:p w14:paraId="323F41E5" w14:textId="77777777" w:rsidR="00E41648" w:rsidRPr="00E41648" w:rsidRDefault="00E41648" w:rsidP="00E41648">
      <w:r w:rsidRPr="00E41648">
        <w:t xml:space="preserve">Propuso </w:t>
      </w:r>
      <w:r w:rsidRPr="00E41648">
        <w:rPr>
          <w:b/>
          <w:bCs/>
        </w:rPr>
        <w:t>rechazar el recurso de casación del Ministerio Público Fiscal</w:t>
      </w:r>
      <w:r w:rsidRPr="00E41648">
        <w:t>, sin costas, y tener presente la reserva del caso federal.</w:t>
      </w:r>
    </w:p>
    <w:p w14:paraId="3FCFB094" w14:textId="77777777" w:rsidR="00E41648" w:rsidRPr="00E41648" w:rsidRDefault="003770F1" w:rsidP="00E41648">
      <w:r>
        <w:pict w14:anchorId="0CE0CFBF">
          <v:rect id="_x0000_i1037" style="width:0;height:1.5pt" o:hralign="center" o:hrstd="t" o:hr="t" fillcolor="#a0a0a0" stroked="f"/>
        </w:pict>
      </w:r>
    </w:p>
    <w:p w14:paraId="1DB5F50F" w14:textId="77777777" w:rsidR="00E41648" w:rsidRPr="00E41648" w:rsidRDefault="00E41648" w:rsidP="00E41648">
      <w:pPr>
        <w:rPr>
          <w:b/>
          <w:bCs/>
        </w:rPr>
      </w:pPr>
      <w:r w:rsidRPr="00E41648">
        <w:rPr>
          <w:b/>
          <w:bCs/>
        </w:rPr>
        <w:t>7. Voto de Javier Carbajo</w:t>
      </w:r>
    </w:p>
    <w:p w14:paraId="68870B60" w14:textId="77777777" w:rsidR="00E41648" w:rsidRPr="00E41648" w:rsidRDefault="00E41648" w:rsidP="00E41648">
      <w:r w:rsidRPr="00E41648">
        <w:t xml:space="preserve">El voto de </w:t>
      </w:r>
      <w:r w:rsidRPr="00E41648">
        <w:rPr>
          <w:b/>
          <w:bCs/>
        </w:rPr>
        <w:t>Javier Carbajo es concurrente</w:t>
      </w:r>
      <w:r w:rsidRPr="00E41648">
        <w:t xml:space="preserve"> y mucho más breve.</w:t>
      </w:r>
    </w:p>
    <w:p w14:paraId="1FCC544B" w14:textId="77777777" w:rsidR="00E41648" w:rsidRPr="00E41648" w:rsidRDefault="00E41648" w:rsidP="00E41648">
      <w:r w:rsidRPr="00E41648">
        <w:t xml:space="preserve">Carbajo expresa que comparte </w:t>
      </w:r>
      <w:r w:rsidRPr="00E41648">
        <w:rPr>
          <w:b/>
          <w:bCs/>
        </w:rPr>
        <w:t>“en lo sustancial”</w:t>
      </w:r>
      <w:r w:rsidRPr="00E41648">
        <w:t xml:space="preserve"> las consideraciones desarrolladas por Borinsky y adhiere a la solución propuesta por éste.</w:t>
      </w:r>
    </w:p>
    <w:p w14:paraId="7CCA82BB" w14:textId="77777777" w:rsidR="00E41648" w:rsidRPr="00E41648" w:rsidRDefault="00E41648" w:rsidP="00E41648">
      <w:r w:rsidRPr="00E41648">
        <w:t xml:space="preserve">Por consiguiente, también vota por </w:t>
      </w:r>
      <w:r w:rsidRPr="00E41648">
        <w:rPr>
          <w:b/>
          <w:bCs/>
        </w:rPr>
        <w:t>rechazar el recurso de casación del Ministerio Público Fiscal</w:t>
      </w:r>
      <w:r w:rsidRPr="00E41648">
        <w:t>, sin costas.</w:t>
      </w:r>
    </w:p>
    <w:p w14:paraId="000636B3" w14:textId="77777777" w:rsidR="00E41648" w:rsidRPr="00E41648" w:rsidRDefault="00E41648" w:rsidP="00E41648">
      <w:r w:rsidRPr="00E41648">
        <w:t>No desarrolla argumentos autónomos ni formula reservas respecto de la doctrina establecida por Borinsky.</w:t>
      </w:r>
    </w:p>
    <w:p w14:paraId="096D20C3" w14:textId="77777777" w:rsidR="00E41648" w:rsidRPr="00E41648" w:rsidRDefault="003770F1" w:rsidP="00E41648">
      <w:r>
        <w:pict w14:anchorId="278E778E">
          <v:rect id="_x0000_i1038" style="width:0;height:1.5pt" o:hralign="center" o:hrstd="t" o:hr="t" fillcolor="#a0a0a0" stroked="f"/>
        </w:pict>
      </w:r>
    </w:p>
    <w:p w14:paraId="3A8E8101" w14:textId="77777777" w:rsidR="00E41648" w:rsidRPr="00E41648" w:rsidRDefault="00E41648" w:rsidP="00E41648">
      <w:pPr>
        <w:rPr>
          <w:b/>
          <w:bCs/>
        </w:rPr>
      </w:pPr>
      <w:r w:rsidRPr="00E41648">
        <w:rPr>
          <w:b/>
          <w:bCs/>
        </w:rPr>
        <w:t>8. Merituación de las posiciones de las partes</w:t>
      </w:r>
    </w:p>
    <w:p w14:paraId="07F7D249" w14:textId="77777777" w:rsidR="00E41648" w:rsidRPr="00E41648" w:rsidRDefault="00E41648" w:rsidP="00E41648">
      <w:r w:rsidRPr="00E41648">
        <w:t xml:space="preserve">La Cámara </w:t>
      </w:r>
      <w:r w:rsidRPr="00E41648">
        <w:rPr>
          <w:b/>
          <w:bCs/>
        </w:rPr>
        <w:t>rechaza íntegramente la tesis sustancial del Ministerio Público Fiscal</w:t>
      </w:r>
      <w:r w:rsidRPr="00E41648">
        <w:t>.</w:t>
      </w:r>
    </w:p>
    <w:p w14:paraId="494AF065" w14:textId="77777777" w:rsidR="00E41648" w:rsidRPr="00E41648" w:rsidRDefault="00E41648" w:rsidP="00E41648">
      <w:r w:rsidRPr="00E41648">
        <w:t>En particular, no acepta que la ley 27.799 pueda ser considerada una mera actualización monetaria sin consecuencias en materia de ley penal más benigna. Para el tribunal, la elevación de los umbrales repercute directamente sobre la relevancia penal del hecho.</w:t>
      </w:r>
    </w:p>
    <w:p w14:paraId="5AF51D2B" w14:textId="77777777" w:rsidR="00E41648" w:rsidRPr="00E41648" w:rsidRDefault="00E41648" w:rsidP="00E41648">
      <w:r w:rsidRPr="00E41648">
        <w:t xml:space="preserve">Tampoco prospera el intento fiscal de distinguir </w:t>
      </w:r>
      <w:r w:rsidRPr="00E41648">
        <w:rPr>
          <w:b/>
          <w:bCs/>
        </w:rPr>
        <w:t>“Vidal”</w:t>
      </w:r>
      <w:r w:rsidRPr="00E41648">
        <w:t xml:space="preserve"> sobre la base del mecanismo de actualización incorporado por la nueva ley. Por el contrario, Borinsky considera que la doctrina de ese precedente conserva plena aplicación y encuentra incluso respaldo adicional en el Decreto 93/2026.</w:t>
      </w:r>
    </w:p>
    <w:p w14:paraId="086CE998" w14:textId="77777777" w:rsidR="00E41648" w:rsidRPr="00E41648" w:rsidRDefault="00E41648" w:rsidP="00E41648">
      <w:r w:rsidRPr="00E41648">
        <w:lastRenderedPageBreak/>
        <w:t xml:space="preserve">La Cámara, en cambio, </w:t>
      </w:r>
      <w:r w:rsidRPr="00E41648">
        <w:rPr>
          <w:b/>
          <w:bCs/>
        </w:rPr>
        <w:t>acoge sustancialmente la postura de las defensas</w:t>
      </w:r>
      <w:r w:rsidRPr="00E41648">
        <w:t>: al encontrarse el monto evadido muy por debajo del nuevo umbral de $100.000.000, la nueva legislación debe aplicarse retroactivamente y determina que el hecho deje de ser penalmente relevante.</w:t>
      </w:r>
    </w:p>
    <w:p w14:paraId="554A2011" w14:textId="77777777" w:rsidR="00E41648" w:rsidRPr="00E41648" w:rsidRDefault="003770F1" w:rsidP="00E41648">
      <w:r>
        <w:pict w14:anchorId="1F8D39A9">
          <v:rect id="_x0000_i1039" style="width:0;height:1.5pt" o:hralign="center" o:hrstd="t" o:hr="t" fillcolor="#a0a0a0" stroked="f"/>
        </w:pict>
      </w:r>
    </w:p>
    <w:p w14:paraId="17BD20B1" w14:textId="77777777" w:rsidR="00E41648" w:rsidRPr="00E41648" w:rsidRDefault="00E41648" w:rsidP="00E41648">
      <w:pPr>
        <w:rPr>
          <w:b/>
          <w:bCs/>
        </w:rPr>
      </w:pPr>
      <w:r w:rsidRPr="00E41648">
        <w:rPr>
          <w:b/>
          <w:bCs/>
        </w:rPr>
        <w:t>9. Resolución</w:t>
      </w:r>
    </w:p>
    <w:p w14:paraId="4D9BEB16" w14:textId="77777777" w:rsidR="00E41648" w:rsidRPr="00E41648" w:rsidRDefault="00E41648" w:rsidP="00E41648">
      <w:r w:rsidRPr="00E41648">
        <w:t xml:space="preserve">Con el voto concurrente de </w:t>
      </w:r>
      <w:r w:rsidRPr="00E41648">
        <w:rPr>
          <w:b/>
          <w:bCs/>
        </w:rPr>
        <w:t>Borinsky y Carbajo</w:t>
      </w:r>
      <w:r w:rsidRPr="00E41648">
        <w:t>, la Sala IV de la Cámara Federal de Casación Penal resolvió:</w:t>
      </w:r>
    </w:p>
    <w:p w14:paraId="71967B16" w14:textId="77777777" w:rsidR="00E41648" w:rsidRPr="00E41648" w:rsidRDefault="00E41648" w:rsidP="00E41648">
      <w:r w:rsidRPr="00E41648">
        <w:rPr>
          <w:b/>
          <w:bCs/>
        </w:rPr>
        <w:t>1. Rechazar el recurso de casación interpuesto por el Ministerio Público Fiscal.</w:t>
      </w:r>
    </w:p>
    <w:p w14:paraId="34FD01DD" w14:textId="77777777" w:rsidR="00E41648" w:rsidRPr="00E41648" w:rsidRDefault="00E41648" w:rsidP="00E41648">
      <w:r w:rsidRPr="00E41648">
        <w:rPr>
          <w:b/>
          <w:bCs/>
        </w:rPr>
        <w:t>2. No imponer costas en la instancia.</w:t>
      </w:r>
    </w:p>
    <w:p w14:paraId="693D5353" w14:textId="77777777" w:rsidR="00E41648" w:rsidRPr="00E41648" w:rsidRDefault="00E41648" w:rsidP="00E41648">
      <w:r w:rsidRPr="00E41648">
        <w:rPr>
          <w:b/>
          <w:bCs/>
        </w:rPr>
        <w:t>3. Tener presente la reserva del caso federal.</w:t>
      </w:r>
    </w:p>
    <w:p w14:paraId="70B28166" w14:textId="77777777" w:rsidR="00E41648" w:rsidRPr="00E41648" w:rsidRDefault="00E41648" w:rsidP="00E41648">
      <w:r w:rsidRPr="00E41648">
        <w:t xml:space="preserve">En consecuencia, quedó incólume la resolución del Tribunal Oral en lo Penal Económico N.º 3 que había </w:t>
      </w:r>
      <w:r w:rsidRPr="00E41648">
        <w:rPr>
          <w:b/>
          <w:bCs/>
        </w:rPr>
        <w:t>sobreseído a Jonatan Alberto Aybar Ortega y Aceros y Construcciones S.A. y dejado sin efecto la condena dictada el 22 de diciembre de 2025</w:t>
      </w:r>
      <w:r w:rsidRPr="00E41648">
        <w:t>.</w:t>
      </w:r>
    </w:p>
    <w:p w14:paraId="0B1B15A0" w14:textId="77777777" w:rsidR="00E41648" w:rsidRPr="00E41648" w:rsidRDefault="00E41648" w:rsidP="00E41648">
      <w:pPr>
        <w:rPr>
          <w:b/>
          <w:bCs/>
        </w:rPr>
      </w:pPr>
      <w:r w:rsidRPr="00E41648">
        <w:rPr>
          <w:b/>
          <w:bCs/>
        </w:rPr>
        <w:t>Doctrina central del fallo</w:t>
      </w:r>
    </w:p>
    <w:p w14:paraId="2919606F" w14:textId="77777777" w:rsidR="00E41648" w:rsidRPr="00E41648" w:rsidRDefault="00E41648" w:rsidP="00E41648">
      <w:r w:rsidRPr="00E41648">
        <w:t xml:space="preserve">El pronunciamiento adopta una posición inequívoca sobre la </w:t>
      </w:r>
      <w:r w:rsidRPr="00E41648">
        <w:rPr>
          <w:b/>
          <w:bCs/>
        </w:rPr>
        <w:t>ley 27.799</w:t>
      </w:r>
      <w:r w:rsidRPr="00E41648">
        <w:t xml:space="preserve">: la elevación de los umbrales de punibilidad </w:t>
      </w:r>
      <w:r w:rsidRPr="00E41648">
        <w:rPr>
          <w:b/>
          <w:bCs/>
        </w:rPr>
        <w:t>no constituye una mera actualización monetaria carente de efectos retroactivos</w:t>
      </w:r>
      <w:r w:rsidRPr="00E41648">
        <w:t>, sino una modificación que incide sobre la relevancia jurídico-penal de las conductas.</w:t>
      </w:r>
    </w:p>
    <w:p w14:paraId="4D955CD6" w14:textId="77777777" w:rsidR="00E41648" w:rsidRPr="00E41648" w:rsidRDefault="00E41648" w:rsidP="00E41648">
      <w:r w:rsidRPr="00E41648">
        <w:t xml:space="preserve">Por aplicación del </w:t>
      </w:r>
      <w:r w:rsidRPr="00E41648">
        <w:rPr>
          <w:b/>
          <w:bCs/>
        </w:rPr>
        <w:t>art. 2 CP y de la doctrina de la CSJN en “Palero” y, especialmente, “Vidal”</w:t>
      </w:r>
      <w:r w:rsidRPr="00E41648">
        <w:t xml:space="preserve">, los nuevos montos deben beneficiar a los hechos anteriores cuando la sentencia todavía no se encuentra firme. En este caso, la evasión de </w:t>
      </w:r>
      <w:r w:rsidRPr="00E41648">
        <w:rPr>
          <w:b/>
          <w:bCs/>
        </w:rPr>
        <w:t>$2.247.650,69</w:t>
      </w:r>
      <w:r w:rsidRPr="00E41648">
        <w:t xml:space="preserve">, frente al nuevo umbral de </w:t>
      </w:r>
      <w:r w:rsidRPr="00E41648">
        <w:rPr>
          <w:b/>
          <w:bCs/>
        </w:rPr>
        <w:t>$100.000.000</w:t>
      </w:r>
      <w:r w:rsidRPr="00E41648">
        <w:t>, quedó fuera del ámbito penal, razón por la cual Casación confirmó el sobreseimiento.</w:t>
      </w:r>
    </w:p>
    <w:p w14:paraId="170A2B05" w14:textId="6257813D" w:rsidR="00E41648" w:rsidRDefault="00E41648" w:rsidP="00A245F2"/>
    <w:p w14:paraId="5205EEC8" w14:textId="3970E1FF" w:rsidR="00106F4B" w:rsidRPr="003770F1" w:rsidRDefault="00106F4B" w:rsidP="00A245F2">
      <w:pPr>
        <w:rPr>
          <w:b/>
          <w:bCs/>
          <w:u w:val="single"/>
        </w:rPr>
      </w:pPr>
      <w:r w:rsidRPr="003770F1">
        <w:rPr>
          <w:b/>
          <w:bCs/>
          <w:u w:val="single"/>
        </w:rPr>
        <w:t>FALLO V</w:t>
      </w:r>
    </w:p>
    <w:p w14:paraId="0509775E" w14:textId="77777777" w:rsidR="00106F4B" w:rsidRPr="00106F4B" w:rsidRDefault="00106F4B" w:rsidP="00106F4B">
      <w:r w:rsidRPr="00106F4B">
        <w:rPr>
          <w:b/>
          <w:bCs/>
        </w:rPr>
        <w:t>Autos:</w:t>
      </w:r>
      <w:r w:rsidRPr="00106F4B">
        <w:t xml:space="preserve"> “Pequeño, Romina Pamela s/recurso de casación”, causa </w:t>
      </w:r>
      <w:r w:rsidRPr="00106F4B">
        <w:rPr>
          <w:b/>
          <w:bCs/>
        </w:rPr>
        <w:t>FSM 18030/2022/TO1/2/CFC1</w:t>
      </w:r>
      <w:r w:rsidRPr="00106F4B">
        <w:t>, Registro N.º 968/26.</w:t>
      </w:r>
      <w:r w:rsidRPr="00106F4B">
        <w:br/>
      </w:r>
      <w:r w:rsidRPr="00106F4B">
        <w:rPr>
          <w:b/>
          <w:bCs/>
        </w:rPr>
        <w:t>Tribunal:</w:t>
      </w:r>
      <w:r w:rsidRPr="00106F4B">
        <w:t xml:space="preserve"> </w:t>
      </w:r>
      <w:r w:rsidRPr="00106F4B">
        <w:rPr>
          <w:b/>
          <w:bCs/>
        </w:rPr>
        <w:t>Cámara Federal de Casación Penal, Sala II</w:t>
      </w:r>
      <w:r w:rsidRPr="00106F4B">
        <w:t xml:space="preserve">, integrada por </w:t>
      </w:r>
      <w:r w:rsidRPr="00106F4B">
        <w:rPr>
          <w:b/>
          <w:bCs/>
        </w:rPr>
        <w:t>Guillermo J. Yacobucci</w:t>
      </w:r>
      <w:r w:rsidRPr="00106F4B">
        <w:t xml:space="preserve"> —Presidente—, </w:t>
      </w:r>
      <w:r w:rsidRPr="00106F4B">
        <w:rPr>
          <w:b/>
          <w:bCs/>
        </w:rPr>
        <w:t>Ángela E. Ledesma</w:t>
      </w:r>
      <w:r w:rsidRPr="00106F4B">
        <w:t xml:space="preserve"> y </w:t>
      </w:r>
      <w:r w:rsidRPr="00106F4B">
        <w:rPr>
          <w:b/>
          <w:bCs/>
        </w:rPr>
        <w:t>Alejandro W. Slokar</w:t>
      </w:r>
      <w:r w:rsidRPr="00106F4B">
        <w:t>.</w:t>
      </w:r>
      <w:r w:rsidRPr="00106F4B">
        <w:br/>
      </w:r>
      <w:r w:rsidRPr="00106F4B">
        <w:rPr>
          <w:b/>
          <w:bCs/>
        </w:rPr>
        <w:t>Fecha:</w:t>
      </w:r>
      <w:r w:rsidRPr="00106F4B">
        <w:t xml:space="preserve"> </w:t>
      </w:r>
      <w:r w:rsidRPr="00106F4B">
        <w:rPr>
          <w:b/>
          <w:bCs/>
        </w:rPr>
        <w:t>13 de agosto de 2026</w:t>
      </w:r>
      <w:r w:rsidRPr="00106F4B">
        <w:t>.</w:t>
      </w:r>
    </w:p>
    <w:p w14:paraId="573510D6" w14:textId="77777777" w:rsidR="00106F4B" w:rsidRPr="00106F4B" w:rsidRDefault="00106F4B" w:rsidP="00106F4B">
      <w:r w:rsidRPr="00106F4B">
        <w:t xml:space="preserve">El fallo resuelve el recurso de casación interpuesto por la defensa de </w:t>
      </w:r>
      <w:r w:rsidRPr="00106F4B">
        <w:rPr>
          <w:b/>
          <w:bCs/>
        </w:rPr>
        <w:t>Romina Pamela Pequeño</w:t>
      </w:r>
      <w:r w:rsidRPr="00106F4B">
        <w:t xml:space="preserve"> contra la decisión del Tribunal Oral en lo Criminal Federal N.º 4 de San Martín que, frente a la entrada en vigencia de una ley penal más benigna, había declarado </w:t>
      </w:r>
      <w:r w:rsidRPr="00106F4B">
        <w:rPr>
          <w:b/>
          <w:bCs/>
        </w:rPr>
        <w:t>extinguida la pena</w:t>
      </w:r>
      <w:r w:rsidRPr="00106F4B">
        <w:t xml:space="preserve"> impuesta a Pequeño, pero sin dejar sin efecto la condena ni absolverla. La cuestión central consiste, precisamente, en determinar si la consecuencia jurídica correcta era la mera extinción de la pena o la </w:t>
      </w:r>
      <w:r w:rsidRPr="00106F4B">
        <w:rPr>
          <w:b/>
          <w:bCs/>
        </w:rPr>
        <w:t>absolución de la condenada por atipicidad sobrevenida del hecho</w:t>
      </w:r>
      <w:r w:rsidRPr="00106F4B">
        <w:t>.</w:t>
      </w:r>
    </w:p>
    <w:p w14:paraId="29D3CAB8" w14:textId="77777777" w:rsidR="00106F4B" w:rsidRPr="00106F4B" w:rsidRDefault="00106F4B" w:rsidP="00106F4B">
      <w:pPr>
        <w:rPr>
          <w:b/>
          <w:bCs/>
        </w:rPr>
      </w:pPr>
      <w:r w:rsidRPr="00106F4B">
        <w:rPr>
          <w:b/>
          <w:bCs/>
        </w:rPr>
        <w:t>1. Antecedentes fácticos y procesales</w:t>
      </w:r>
    </w:p>
    <w:p w14:paraId="3D14BAAD" w14:textId="77777777" w:rsidR="00106F4B" w:rsidRPr="00106F4B" w:rsidRDefault="00106F4B" w:rsidP="00106F4B">
      <w:r w:rsidRPr="00106F4B">
        <w:lastRenderedPageBreak/>
        <w:t xml:space="preserve">Romina Pequeño había sido condenada como autora del delito de </w:t>
      </w:r>
      <w:r w:rsidRPr="00106F4B">
        <w:rPr>
          <w:b/>
          <w:bCs/>
        </w:rPr>
        <w:t>evasión tributaria simple</w:t>
      </w:r>
      <w:r w:rsidRPr="00106F4B">
        <w:t xml:space="preserve">, conforme al art. 1 de la Ley Penal Tributaria, a la pena de </w:t>
      </w:r>
      <w:r w:rsidRPr="00106F4B">
        <w:rPr>
          <w:b/>
          <w:bCs/>
        </w:rPr>
        <w:t>dos años de prisión de ejecución condicional y costas</w:t>
      </w:r>
      <w:r w:rsidRPr="00106F4B">
        <w:t>.</w:t>
      </w:r>
    </w:p>
    <w:p w14:paraId="5F4A63C6" w14:textId="77777777" w:rsidR="00106F4B" w:rsidRPr="00106F4B" w:rsidRDefault="00106F4B" w:rsidP="00106F4B">
      <w:r w:rsidRPr="00106F4B">
        <w:t>Asimismo, durante dos años se le habían impuesto reglas de conducta consistentes en fijar residencia y someterse al cuidado del patronato de liberados correspondiente a su domicilio.</w:t>
      </w:r>
    </w:p>
    <w:p w14:paraId="43E29678" w14:textId="77777777" w:rsidR="00106F4B" w:rsidRPr="00106F4B" w:rsidRDefault="00106F4B" w:rsidP="00106F4B">
      <w:r w:rsidRPr="00106F4B">
        <w:t xml:space="preserve">Posteriormente entró en vigencia la </w:t>
      </w:r>
      <w:r w:rsidRPr="00106F4B">
        <w:rPr>
          <w:b/>
          <w:bCs/>
        </w:rPr>
        <w:t>ley 27.799</w:t>
      </w:r>
      <w:r w:rsidRPr="00106F4B">
        <w:t>, que elevó el monto correspondiente a la condición objetiva de punibilidad del delito de evasión tributaria.</w:t>
      </w:r>
    </w:p>
    <w:p w14:paraId="66B356E1" w14:textId="77777777" w:rsidR="00106F4B" w:rsidRPr="00106F4B" w:rsidRDefault="00106F4B" w:rsidP="00106F4B">
      <w:r w:rsidRPr="00106F4B">
        <w:t xml:space="preserve">La modificación legislativa determinó que la conducta por la cual Pequeño había sido condenada quedara por debajo del nuevo umbral penal. Sobre este aspecto </w:t>
      </w:r>
      <w:r w:rsidRPr="00106F4B">
        <w:rPr>
          <w:b/>
          <w:bCs/>
        </w:rPr>
        <w:t>no existió controversia sustancial entre las partes</w:t>
      </w:r>
      <w:r w:rsidRPr="00106F4B">
        <w:t>: defensa, Ministerio Público Fiscal y querella coincidieron en que correspondía aplicar retroactivamente la ley penal más benigna.</w:t>
      </w:r>
    </w:p>
    <w:p w14:paraId="0918D50D" w14:textId="77777777" w:rsidR="00106F4B" w:rsidRPr="00106F4B" w:rsidRDefault="00106F4B" w:rsidP="00106F4B">
      <w:r w:rsidRPr="00106F4B">
        <w:t xml:space="preserve">La controversia se concentró en </w:t>
      </w:r>
      <w:r w:rsidRPr="00106F4B">
        <w:rPr>
          <w:b/>
          <w:bCs/>
        </w:rPr>
        <w:t>cuál debía ser la consecuencia procesal y sustantiva de esa aplicación</w:t>
      </w:r>
      <w:r w:rsidRPr="00106F4B">
        <w:t>.</w:t>
      </w:r>
    </w:p>
    <w:p w14:paraId="18B20900" w14:textId="77777777" w:rsidR="00106F4B" w:rsidRPr="00106F4B" w:rsidRDefault="00106F4B" w:rsidP="00106F4B">
      <w:r w:rsidRPr="00106F4B">
        <w:t xml:space="preserve">La defensa solicitó directamente la </w:t>
      </w:r>
      <w:r w:rsidRPr="00106F4B">
        <w:rPr>
          <w:b/>
          <w:bCs/>
        </w:rPr>
        <w:t>absolución</w:t>
      </w:r>
      <w:r w:rsidRPr="00106F4B">
        <w:t xml:space="preserve"> de Pequeño por la vía del art. 504 CPPN.</w:t>
      </w:r>
    </w:p>
    <w:p w14:paraId="010FFE19" w14:textId="77777777" w:rsidR="00106F4B" w:rsidRPr="00106F4B" w:rsidRDefault="00106F4B" w:rsidP="00106F4B">
      <w:r w:rsidRPr="00106F4B">
        <w:t xml:space="preserve">El Ministerio Público Fiscal coincidió en que correspondía aplicar la ley penal más benigna, pero entendió que debía declararse la </w:t>
      </w:r>
      <w:r w:rsidRPr="00106F4B">
        <w:rPr>
          <w:b/>
          <w:bCs/>
        </w:rPr>
        <w:t>extinción de la pena</w:t>
      </w:r>
      <w:r w:rsidRPr="00106F4B">
        <w:t>, considerando procedente la vía del art. 479 inc. 5 CPPN.</w:t>
      </w:r>
    </w:p>
    <w:p w14:paraId="5D93C84B" w14:textId="77777777" w:rsidR="00106F4B" w:rsidRPr="00106F4B" w:rsidRDefault="00106F4B" w:rsidP="00106F4B">
      <w:r w:rsidRPr="00106F4B">
        <w:t xml:space="preserve">La querella —ARCA-AFIP— </w:t>
      </w:r>
      <w:r w:rsidRPr="00106F4B">
        <w:rPr>
          <w:b/>
          <w:bCs/>
        </w:rPr>
        <w:t>se allanó al planteo de la defensa</w:t>
      </w:r>
      <w:r w:rsidRPr="00106F4B">
        <w:t>.</w:t>
      </w:r>
    </w:p>
    <w:p w14:paraId="0977BC78" w14:textId="77777777" w:rsidR="00106F4B" w:rsidRPr="00106F4B" w:rsidRDefault="00106F4B" w:rsidP="00106F4B">
      <w:r w:rsidRPr="00106F4B">
        <w:t xml:space="preserve">El juez de ejecución optó por la solución propiciada sustancialmente por el Ministerio Público Fiscal: declaró </w:t>
      </w:r>
      <w:r w:rsidRPr="00106F4B">
        <w:rPr>
          <w:b/>
          <w:bCs/>
        </w:rPr>
        <w:t>extinguida la pena</w:t>
      </w:r>
      <w:r w:rsidRPr="00106F4B">
        <w:t xml:space="preserve"> impuesta a Pequeño por aplicación de la ley penal más benigna.</w:t>
      </w:r>
    </w:p>
    <w:p w14:paraId="5185F0A7" w14:textId="77777777" w:rsidR="00106F4B" w:rsidRPr="00106F4B" w:rsidRDefault="00106F4B" w:rsidP="00106F4B">
      <w:r w:rsidRPr="00106F4B">
        <w:t>Contra esa decisión recurrió la defensa.</w:t>
      </w:r>
    </w:p>
    <w:p w14:paraId="1A6E2531" w14:textId="77777777" w:rsidR="00106F4B" w:rsidRPr="00106F4B" w:rsidRDefault="003770F1" w:rsidP="00106F4B">
      <w:r>
        <w:pict w14:anchorId="5D5BDCF0">
          <v:rect id="_x0000_i1040" style="width:0;height:1.5pt" o:hralign="center" o:hrstd="t" o:hr="t" fillcolor="#a0a0a0" stroked="f"/>
        </w:pict>
      </w:r>
    </w:p>
    <w:p w14:paraId="0E957935" w14:textId="77777777" w:rsidR="00106F4B" w:rsidRPr="00106F4B" w:rsidRDefault="00106F4B" w:rsidP="00106F4B">
      <w:pPr>
        <w:rPr>
          <w:b/>
          <w:bCs/>
        </w:rPr>
      </w:pPr>
      <w:r w:rsidRPr="00106F4B">
        <w:rPr>
          <w:b/>
          <w:bCs/>
        </w:rPr>
        <w:t>2. Cuestión jurídica central</w:t>
      </w:r>
    </w:p>
    <w:p w14:paraId="1757A6C5" w14:textId="77777777" w:rsidR="00106F4B" w:rsidRPr="00106F4B" w:rsidRDefault="00106F4B" w:rsidP="00106F4B">
      <w:r w:rsidRPr="00106F4B">
        <w:t xml:space="preserve">A diferencia de otros pronunciamientos sobre la ley 27.799, </w:t>
      </w:r>
      <w:r w:rsidRPr="00106F4B">
        <w:rPr>
          <w:b/>
          <w:bCs/>
        </w:rPr>
        <w:t>en este fallo no se discute si la elevación del umbral de punibilidad debe aplicarse retroactivamente</w:t>
      </w:r>
      <w:r w:rsidRPr="00106F4B">
        <w:t>.</w:t>
      </w:r>
    </w:p>
    <w:p w14:paraId="18A5961B" w14:textId="77777777" w:rsidR="00106F4B" w:rsidRPr="00106F4B" w:rsidRDefault="00106F4B" w:rsidP="00106F4B">
      <w:r w:rsidRPr="00106F4B">
        <w:t>Todos los intervinientes aceptaron la aplicación de la ley penal más benigna.</w:t>
      </w:r>
    </w:p>
    <w:p w14:paraId="237C48AD" w14:textId="77777777" w:rsidR="00106F4B" w:rsidRPr="00106F4B" w:rsidRDefault="00106F4B" w:rsidP="00106F4B">
      <w:r w:rsidRPr="00106F4B">
        <w:t>El problema es otro:</w:t>
      </w:r>
    </w:p>
    <w:p w14:paraId="71FCD788" w14:textId="77777777" w:rsidR="00106F4B" w:rsidRPr="00106F4B" w:rsidRDefault="00106F4B" w:rsidP="00106F4B">
      <w:r w:rsidRPr="00106F4B">
        <w:rPr>
          <w:b/>
          <w:bCs/>
        </w:rPr>
        <w:t>si una ley posterior determina que el hecho por el cual existe una condena firme ha dejado de ser penalmente típico, ¿corresponde simplemente extinguir la pena o debe dejarse sin efecto la propia condena y absolver al condenado?</w:t>
      </w:r>
    </w:p>
    <w:p w14:paraId="0BE56F93" w14:textId="77777777" w:rsidR="00106F4B" w:rsidRPr="00106F4B" w:rsidRDefault="00106F4B" w:rsidP="00106F4B">
      <w:r w:rsidRPr="00106F4B">
        <w:t>La diferencia no es meramente terminológica.</w:t>
      </w:r>
    </w:p>
    <w:p w14:paraId="7BF614EB" w14:textId="77777777" w:rsidR="00106F4B" w:rsidRPr="00106F4B" w:rsidRDefault="00106F4B" w:rsidP="00106F4B">
      <w:r w:rsidRPr="00106F4B">
        <w:t xml:space="preserve">La </w:t>
      </w:r>
      <w:r w:rsidRPr="00106F4B">
        <w:rPr>
          <w:b/>
          <w:bCs/>
        </w:rPr>
        <w:t>extinción de la pena</w:t>
      </w:r>
      <w:r w:rsidRPr="00106F4B">
        <w:t xml:space="preserve"> supone que subsiste la sentencia condenatoria y la declaración de responsabilidad penal, aunque el Estado ya no pueda ejecutar la sanción.</w:t>
      </w:r>
    </w:p>
    <w:p w14:paraId="2A8D7641" w14:textId="77777777" w:rsidR="00106F4B" w:rsidRPr="00106F4B" w:rsidRDefault="00106F4B" w:rsidP="00106F4B">
      <w:r w:rsidRPr="00106F4B">
        <w:t xml:space="preserve">La </w:t>
      </w:r>
      <w:r w:rsidRPr="00106F4B">
        <w:rPr>
          <w:b/>
          <w:bCs/>
        </w:rPr>
        <w:t>absolución</w:t>
      </w:r>
      <w:r w:rsidRPr="00106F4B">
        <w:t>, en cambio, elimina la declaración de responsabilidad penal porque el hecho que sustentaba la condena ya no constituye delito.</w:t>
      </w:r>
    </w:p>
    <w:p w14:paraId="0FFE7142" w14:textId="77777777" w:rsidR="00106F4B" w:rsidRPr="00106F4B" w:rsidRDefault="00106F4B" w:rsidP="00106F4B">
      <w:r w:rsidRPr="00106F4B">
        <w:t>Esta distinción constituye el verdadero núcleo jurídico del pronunciamiento.</w:t>
      </w:r>
    </w:p>
    <w:p w14:paraId="2F4BBC0E" w14:textId="77777777" w:rsidR="00106F4B" w:rsidRPr="00106F4B" w:rsidRDefault="00106F4B" w:rsidP="00106F4B">
      <w:pPr>
        <w:rPr>
          <w:b/>
          <w:bCs/>
        </w:rPr>
      </w:pPr>
      <w:r w:rsidRPr="00106F4B">
        <w:rPr>
          <w:b/>
          <w:bCs/>
        </w:rPr>
        <w:lastRenderedPageBreak/>
        <w:t>3. Postura de la defensa</w:t>
      </w:r>
    </w:p>
    <w:p w14:paraId="077A3F14" w14:textId="77777777" w:rsidR="00106F4B" w:rsidRPr="00106F4B" w:rsidRDefault="00106F4B" w:rsidP="00106F4B">
      <w:r w:rsidRPr="00106F4B">
        <w:t xml:space="preserve">La defensa de Pequeño sostuvo que el juez de ejecución había extraído una </w:t>
      </w:r>
      <w:r w:rsidRPr="00106F4B">
        <w:rPr>
          <w:b/>
          <w:bCs/>
        </w:rPr>
        <w:t>consecuencia jurídica insuficiente</w:t>
      </w:r>
      <w:r w:rsidRPr="00106F4B">
        <w:t xml:space="preserve"> de la aplicación de la ley penal más benigna.</w:t>
      </w:r>
    </w:p>
    <w:p w14:paraId="77D29B82" w14:textId="77777777" w:rsidR="00106F4B" w:rsidRPr="00106F4B" w:rsidRDefault="00106F4B" w:rsidP="00106F4B">
      <w:r w:rsidRPr="00106F4B">
        <w:t>Reconoció que entre las partes no existían diferencias sobre la procedencia del art. 2 CP. La discrepancia se encontraba en el modo de instrumentar sus consecuencias.</w:t>
      </w:r>
    </w:p>
    <w:p w14:paraId="65A4C1BC" w14:textId="77777777" w:rsidR="00106F4B" w:rsidRPr="00106F4B" w:rsidRDefault="00106F4B" w:rsidP="00106F4B">
      <w:r w:rsidRPr="00106F4B">
        <w:t xml:space="preserve">La defensa sostuvo que debía dictarse la </w:t>
      </w:r>
      <w:r w:rsidRPr="00106F4B">
        <w:rPr>
          <w:b/>
          <w:bCs/>
        </w:rPr>
        <w:t>absolución</w:t>
      </w:r>
      <w:r w:rsidRPr="00106F4B">
        <w:t>, mientras que el Ministerio Público había considerado procedente tramitar la cuestión mediante el mecanismo de revisión.</w:t>
      </w:r>
    </w:p>
    <w:p w14:paraId="7CA93EB5" w14:textId="77777777" w:rsidR="00106F4B" w:rsidRPr="00106F4B" w:rsidRDefault="00106F4B" w:rsidP="00106F4B">
      <w:pPr>
        <w:rPr>
          <w:b/>
          <w:bCs/>
        </w:rPr>
      </w:pPr>
      <w:r w:rsidRPr="00106F4B">
        <w:rPr>
          <w:b/>
          <w:bCs/>
        </w:rPr>
        <w:t>Diferencia entre extinción de la pena y absolución</w:t>
      </w:r>
    </w:p>
    <w:p w14:paraId="03D797CC" w14:textId="77777777" w:rsidR="00106F4B" w:rsidRPr="00106F4B" w:rsidRDefault="00106F4B" w:rsidP="00106F4B">
      <w:r w:rsidRPr="00106F4B">
        <w:t>Este fue el principal argumento defensivo.</w:t>
      </w:r>
    </w:p>
    <w:p w14:paraId="00E73246" w14:textId="77777777" w:rsidR="00106F4B" w:rsidRPr="00106F4B" w:rsidRDefault="00106F4B" w:rsidP="00106F4B">
      <w:r w:rsidRPr="00106F4B">
        <w:t xml:space="preserve">La defensa señaló que la absolución supone reconocer la </w:t>
      </w:r>
      <w:r w:rsidRPr="00106F4B">
        <w:rPr>
          <w:b/>
          <w:bCs/>
        </w:rPr>
        <w:t>inexistencia de responsabilidad penal</w:t>
      </w:r>
      <w:r w:rsidRPr="00106F4B">
        <w:t>, ya sea por falta de prueba o porque el hecho es atípico.</w:t>
      </w:r>
    </w:p>
    <w:p w14:paraId="40804DA5" w14:textId="77777777" w:rsidR="00106F4B" w:rsidRPr="00106F4B" w:rsidRDefault="00106F4B" w:rsidP="00106F4B">
      <w:r w:rsidRPr="00106F4B">
        <w:t xml:space="preserve">En cambio, la mera extinción de la pena </w:t>
      </w:r>
      <w:r w:rsidRPr="00106F4B">
        <w:rPr>
          <w:b/>
          <w:bCs/>
        </w:rPr>
        <w:t>no elimina la condena ni la declaración de culpabilidad</w:t>
      </w:r>
      <w:r w:rsidRPr="00106F4B">
        <w:t>: únicamente impide que el Estado continúe ejecutando el castigo.</w:t>
      </w:r>
    </w:p>
    <w:p w14:paraId="152F7ED9" w14:textId="77777777" w:rsidR="00106F4B" w:rsidRPr="00106F4B" w:rsidRDefault="00106F4B" w:rsidP="00106F4B">
      <w:r w:rsidRPr="00106F4B">
        <w:t xml:space="preserve">Por lo tanto, subsisten consecuencias de la condena, especialmente sus </w:t>
      </w:r>
      <w:r w:rsidRPr="00106F4B">
        <w:rPr>
          <w:b/>
          <w:bCs/>
        </w:rPr>
        <w:t>efectos registrales</w:t>
      </w:r>
      <w:r w:rsidRPr="00106F4B">
        <w:t>.</w:t>
      </w:r>
    </w:p>
    <w:p w14:paraId="5A2209D8" w14:textId="77777777" w:rsidR="00106F4B" w:rsidRPr="00106F4B" w:rsidRDefault="00106F4B" w:rsidP="00106F4B">
      <w:r w:rsidRPr="00106F4B">
        <w:t>Como en este caso la propia decisión cuestionada había reconocido que el hecho dejó de ser típico, la defensa entendió contradictorio mantener vigente la condena y limitarse a extinguir la sanción.</w:t>
      </w:r>
    </w:p>
    <w:p w14:paraId="66E09A74" w14:textId="77777777" w:rsidR="00106F4B" w:rsidRPr="00106F4B" w:rsidRDefault="00106F4B" w:rsidP="00106F4B">
      <w:r w:rsidRPr="00106F4B">
        <w:t>Por ello solicitó que se dejara sin efecto la sentencia condenatoria y se absolviera a Pequeño.</w:t>
      </w:r>
    </w:p>
    <w:p w14:paraId="51923F10" w14:textId="77777777" w:rsidR="00106F4B" w:rsidRPr="00106F4B" w:rsidRDefault="003770F1" w:rsidP="00106F4B">
      <w:r>
        <w:pict w14:anchorId="2837BCA7">
          <v:rect id="_x0000_i1041" style="width:0;height:1.5pt" o:hralign="center" o:hrstd="t" o:hr="t" fillcolor="#a0a0a0" stroked="f"/>
        </w:pict>
      </w:r>
    </w:p>
    <w:p w14:paraId="728A2A5E" w14:textId="77777777" w:rsidR="00106F4B" w:rsidRPr="00106F4B" w:rsidRDefault="00106F4B" w:rsidP="00106F4B">
      <w:pPr>
        <w:rPr>
          <w:b/>
          <w:bCs/>
        </w:rPr>
      </w:pPr>
      <w:r w:rsidRPr="00106F4B">
        <w:rPr>
          <w:b/>
          <w:bCs/>
        </w:rPr>
        <w:t>4. Postura del Ministerio Público Fiscal</w:t>
      </w:r>
    </w:p>
    <w:p w14:paraId="39884505" w14:textId="77777777" w:rsidR="00106F4B" w:rsidRPr="00106F4B" w:rsidRDefault="00106F4B" w:rsidP="00106F4B">
      <w:r w:rsidRPr="00106F4B">
        <w:t xml:space="preserve">El Ministerio Público Fiscal </w:t>
      </w:r>
      <w:r w:rsidRPr="00106F4B">
        <w:rPr>
          <w:b/>
          <w:bCs/>
        </w:rPr>
        <w:t>no cuestionó la aplicación retroactiva de la ley 27.799</w:t>
      </w:r>
      <w:r w:rsidRPr="00106F4B">
        <w:t>.</w:t>
      </w:r>
    </w:p>
    <w:p w14:paraId="3BCCA7CF" w14:textId="77777777" w:rsidR="00106F4B" w:rsidRPr="00106F4B" w:rsidRDefault="00106F4B" w:rsidP="00106F4B">
      <w:r w:rsidRPr="00106F4B">
        <w:t>Por el contrario, coincidió en que debía aplicarse el principio de ley penal más benigna establecido en el art. 2 CP.</w:t>
      </w:r>
    </w:p>
    <w:p w14:paraId="354E859E" w14:textId="77777777" w:rsidR="00106F4B" w:rsidRPr="00106F4B" w:rsidRDefault="00106F4B" w:rsidP="00106F4B">
      <w:r w:rsidRPr="00106F4B">
        <w:t>La diferencia con la defensa fue esencialmente procesal y respecto de los efectos jurídicos.</w:t>
      </w:r>
    </w:p>
    <w:p w14:paraId="2068DAF0" w14:textId="77777777" w:rsidR="00106F4B" w:rsidRPr="00106F4B" w:rsidRDefault="00106F4B" w:rsidP="00106F4B">
      <w:r w:rsidRPr="00106F4B">
        <w:t xml:space="preserve">El Fiscal entendió que correspondía declarar la </w:t>
      </w:r>
      <w:r w:rsidRPr="00106F4B">
        <w:rPr>
          <w:b/>
          <w:bCs/>
        </w:rPr>
        <w:t>extinción de la pena</w:t>
      </w:r>
      <w:r w:rsidRPr="00106F4B">
        <w:t>, mediante el mecanismo contemplado por el art. 479 inc. 5 CPPN, y no disponer directamente la absolución solicitada por la defensa.</w:t>
      </w:r>
    </w:p>
    <w:p w14:paraId="71A3E92C" w14:textId="77777777" w:rsidR="00106F4B" w:rsidRPr="00106F4B" w:rsidRDefault="00106F4B" w:rsidP="00106F4B">
      <w:pPr>
        <w:rPr>
          <w:b/>
          <w:bCs/>
        </w:rPr>
      </w:pPr>
      <w:r w:rsidRPr="00106F4B">
        <w:rPr>
          <w:b/>
          <w:bCs/>
        </w:rPr>
        <w:t>Merituación de la posición fiscal</w:t>
      </w:r>
    </w:p>
    <w:p w14:paraId="383541D5" w14:textId="77777777" w:rsidR="00106F4B" w:rsidRPr="00106F4B" w:rsidRDefault="00106F4B" w:rsidP="00106F4B">
      <w:r w:rsidRPr="00106F4B">
        <w:t xml:space="preserve">La Cámara </w:t>
      </w:r>
      <w:r w:rsidRPr="00106F4B">
        <w:rPr>
          <w:b/>
          <w:bCs/>
        </w:rPr>
        <w:t>no acogió esta posición</w:t>
      </w:r>
      <w:r w:rsidRPr="00106F4B">
        <w:t>.</w:t>
      </w:r>
    </w:p>
    <w:p w14:paraId="6E2B642A" w14:textId="77777777" w:rsidR="00106F4B" w:rsidRPr="00106F4B" w:rsidRDefault="00106F4B" w:rsidP="00106F4B">
      <w:r w:rsidRPr="00106F4B">
        <w:t>Para la mayoría —en realidad, para los tres jueces respecto del resultado—, reconocer que la conducta ha devenido atípica y, al mismo tiempo, mantener subsistente la condena resulta jurídicamente contradictorio.</w:t>
      </w:r>
    </w:p>
    <w:p w14:paraId="11AE8CA8" w14:textId="77777777" w:rsidR="00106F4B" w:rsidRPr="00106F4B" w:rsidRDefault="00106F4B" w:rsidP="00106F4B">
      <w:r w:rsidRPr="00106F4B">
        <w:t xml:space="preserve">La aplicación de la ley penal más benigna no debe limitarse a impedir la ejecución de la pena: debe proyectarse sobre la propia declaración de responsabilidad cuando el hecho que sustentó la condena </w:t>
      </w:r>
      <w:r w:rsidRPr="00106F4B">
        <w:rPr>
          <w:b/>
          <w:bCs/>
        </w:rPr>
        <w:t>ya no constituye delito</w:t>
      </w:r>
      <w:r w:rsidRPr="00106F4B">
        <w:t>.</w:t>
      </w:r>
    </w:p>
    <w:p w14:paraId="7056C3FF" w14:textId="77777777" w:rsidR="00106F4B" w:rsidRPr="00106F4B" w:rsidRDefault="003770F1" w:rsidP="00106F4B">
      <w:r>
        <w:pict w14:anchorId="7D4D27DC">
          <v:rect id="_x0000_i1042" style="width:0;height:1.5pt" o:hralign="center" o:hrstd="t" o:hr="t" fillcolor="#a0a0a0" stroked="f"/>
        </w:pict>
      </w:r>
    </w:p>
    <w:p w14:paraId="4BAA0BF7" w14:textId="77777777" w:rsidR="00106F4B" w:rsidRPr="00106F4B" w:rsidRDefault="00106F4B" w:rsidP="00106F4B">
      <w:pPr>
        <w:rPr>
          <w:b/>
          <w:bCs/>
        </w:rPr>
      </w:pPr>
      <w:r w:rsidRPr="00106F4B">
        <w:rPr>
          <w:b/>
          <w:bCs/>
        </w:rPr>
        <w:lastRenderedPageBreak/>
        <w:t>5. Postura de la querella — ARCA-AFIP</w:t>
      </w:r>
    </w:p>
    <w:p w14:paraId="5599E629" w14:textId="77777777" w:rsidR="00106F4B" w:rsidRPr="00106F4B" w:rsidRDefault="00106F4B" w:rsidP="00106F4B">
      <w:r w:rsidRPr="00106F4B">
        <w:t xml:space="preserve">En el proceso intervino como querellante </w:t>
      </w:r>
      <w:r w:rsidRPr="00106F4B">
        <w:rPr>
          <w:b/>
          <w:bCs/>
        </w:rPr>
        <w:t>ARCA-AFIP</w:t>
      </w:r>
      <w:r w:rsidRPr="00106F4B">
        <w:t>.</w:t>
      </w:r>
    </w:p>
    <w:p w14:paraId="0C1F8E29" w14:textId="77777777" w:rsidR="00106F4B" w:rsidRPr="00106F4B" w:rsidRDefault="00106F4B" w:rsidP="00106F4B">
      <w:r w:rsidRPr="00106F4B">
        <w:t xml:space="preserve">Su posición fue coincidente con la defensa: </w:t>
      </w:r>
      <w:r w:rsidRPr="00106F4B">
        <w:rPr>
          <w:b/>
          <w:bCs/>
        </w:rPr>
        <w:t>se allanó al pedido formulado por ésta</w:t>
      </w:r>
      <w:r w:rsidRPr="00106F4B">
        <w:t>.</w:t>
      </w:r>
    </w:p>
    <w:p w14:paraId="319D7783" w14:textId="77777777" w:rsidR="00106F4B" w:rsidRPr="00106F4B" w:rsidRDefault="00106F4B" w:rsidP="00106F4B">
      <w:r w:rsidRPr="00106F4B">
        <w:t>Por lo tanto, la querella no pretendió mantener ni la condena ni sus efectos una vez reconocida la incidencia de la ley penal más benigna.</w:t>
      </w:r>
    </w:p>
    <w:p w14:paraId="00FEB469" w14:textId="77777777" w:rsidR="00106F4B" w:rsidRPr="00106F4B" w:rsidRDefault="00106F4B" w:rsidP="00106F4B">
      <w:r w:rsidRPr="00106F4B">
        <w:t>El fallo no desarrolla argumentos autónomos de ARCA más allá de consignar expresamente ese allanamiento.</w:t>
      </w:r>
    </w:p>
    <w:p w14:paraId="465BCF20" w14:textId="77777777" w:rsidR="00106F4B" w:rsidRPr="00106F4B" w:rsidRDefault="003770F1" w:rsidP="00106F4B">
      <w:r>
        <w:pict w14:anchorId="13FF10EB">
          <v:rect id="_x0000_i1043" style="width:0;height:1.5pt" o:hralign="center" o:hrstd="t" o:hr="t" fillcolor="#a0a0a0" stroked="f"/>
        </w:pict>
      </w:r>
    </w:p>
    <w:p w14:paraId="4B25D432" w14:textId="77777777" w:rsidR="00106F4B" w:rsidRPr="00106F4B" w:rsidRDefault="00106F4B" w:rsidP="00106F4B">
      <w:pPr>
        <w:rPr>
          <w:b/>
          <w:bCs/>
        </w:rPr>
      </w:pPr>
      <w:r w:rsidRPr="00106F4B">
        <w:rPr>
          <w:b/>
          <w:bCs/>
        </w:rPr>
        <w:t>6. Voto de Ángela E. Ledesma</w:t>
      </w:r>
    </w:p>
    <w:p w14:paraId="054A51BE" w14:textId="77777777" w:rsidR="00106F4B" w:rsidRPr="00106F4B" w:rsidRDefault="00106F4B" w:rsidP="00106F4B">
      <w:r w:rsidRPr="00106F4B">
        <w:t xml:space="preserve">El voto de </w:t>
      </w:r>
      <w:r w:rsidRPr="00106F4B">
        <w:rPr>
          <w:b/>
          <w:bCs/>
        </w:rPr>
        <w:t>Ledesma</w:t>
      </w:r>
      <w:r w:rsidRPr="00106F4B">
        <w:t xml:space="preserve"> es el que desarrolla los fundamentos centrales de la sentencia.</w:t>
      </w:r>
    </w:p>
    <w:p w14:paraId="0F2E95C2" w14:textId="77777777" w:rsidR="00106F4B" w:rsidRPr="00106F4B" w:rsidRDefault="00106F4B" w:rsidP="00106F4B">
      <w:r w:rsidRPr="00106F4B">
        <w:t xml:space="preserve">Propone </w:t>
      </w:r>
      <w:r w:rsidRPr="00106F4B">
        <w:rPr>
          <w:b/>
          <w:bCs/>
        </w:rPr>
        <w:t>hacer lugar al recurso de la defensa y absolver a Pequeño</w:t>
      </w:r>
      <w:r w:rsidRPr="00106F4B">
        <w:t>.</w:t>
      </w:r>
    </w:p>
    <w:p w14:paraId="0933DBA4" w14:textId="77777777" w:rsidR="00106F4B" w:rsidRPr="00106F4B" w:rsidRDefault="00106F4B" w:rsidP="00106F4B">
      <w:pPr>
        <w:rPr>
          <w:b/>
          <w:bCs/>
        </w:rPr>
      </w:pPr>
      <w:r w:rsidRPr="00106F4B">
        <w:rPr>
          <w:b/>
          <w:bCs/>
        </w:rPr>
        <w:t>a. Ley penal más benigna como garantía</w:t>
      </w:r>
    </w:p>
    <w:p w14:paraId="257DE3D8" w14:textId="77777777" w:rsidR="00106F4B" w:rsidRPr="00106F4B" w:rsidRDefault="00106F4B" w:rsidP="00106F4B">
      <w:r w:rsidRPr="00106F4B">
        <w:t xml:space="preserve">Ledesma parte del principio de retroactividad de la ley penal más benigna contenido en el </w:t>
      </w:r>
      <w:r w:rsidRPr="00106F4B">
        <w:rPr>
          <w:b/>
          <w:bCs/>
        </w:rPr>
        <w:t>art. 2 CP</w:t>
      </w:r>
      <w:r w:rsidRPr="00106F4B">
        <w:t>, interpretado conjuntamente con el principio de legalidad del art. 18 CN y las garantías previstas en los tratados internacionales de derechos humanos.</w:t>
      </w:r>
    </w:p>
    <w:p w14:paraId="699A90F6" w14:textId="77777777" w:rsidR="00106F4B" w:rsidRPr="00106F4B" w:rsidRDefault="00106F4B" w:rsidP="00106F4B">
      <w:r w:rsidRPr="00106F4B">
        <w:t>Destaca que el art. 2 CP ordena aplicar siempre la ley más favorable cuando existe una diferencia entre la ley vigente al momento del hecho y aquella vigente al momento del fallo o durante el período intermedio.</w:t>
      </w:r>
    </w:p>
    <w:p w14:paraId="69B80FBF" w14:textId="77777777" w:rsidR="00106F4B" w:rsidRPr="00106F4B" w:rsidRDefault="00106F4B" w:rsidP="00106F4B">
      <w:pPr>
        <w:rPr>
          <w:b/>
          <w:bCs/>
        </w:rPr>
      </w:pPr>
      <w:r w:rsidRPr="00106F4B">
        <w:rPr>
          <w:b/>
          <w:bCs/>
        </w:rPr>
        <w:t>b. Derecho penal como sistema de garantías</w:t>
      </w:r>
    </w:p>
    <w:p w14:paraId="5540FF2E" w14:textId="77777777" w:rsidR="00106F4B" w:rsidRPr="00106F4B" w:rsidRDefault="00106F4B" w:rsidP="00106F4B">
      <w:r w:rsidRPr="00106F4B">
        <w:t>La jueza desarrolla una concepción marcadamente garantista del principio.</w:t>
      </w:r>
    </w:p>
    <w:p w14:paraId="398A7E06" w14:textId="77777777" w:rsidR="00106F4B" w:rsidRPr="00106F4B" w:rsidRDefault="00106F4B" w:rsidP="00106F4B">
      <w:r w:rsidRPr="00106F4B">
        <w:t xml:space="preserve">Con cita de Alberto Binder, sostiene que el Derecho Penal forma parte de un </w:t>
      </w:r>
      <w:r w:rsidRPr="00106F4B">
        <w:rPr>
          <w:b/>
          <w:bCs/>
        </w:rPr>
        <w:t>sistema de garantías destinado a proteger al ciudadano frente al riesgo punitivo</w:t>
      </w:r>
      <w:r w:rsidRPr="00106F4B">
        <w:t>.</w:t>
      </w:r>
    </w:p>
    <w:p w14:paraId="11117EC1" w14:textId="77777777" w:rsidR="00106F4B" w:rsidRPr="00106F4B" w:rsidRDefault="00106F4B" w:rsidP="00106F4B">
      <w:r w:rsidRPr="00106F4B">
        <w:t xml:space="preserve">Los principios penales no deben ser concebidos como simples construcciones dogmáticas, sino como auténticos </w:t>
      </w:r>
      <w:r w:rsidRPr="00106F4B">
        <w:rPr>
          <w:b/>
          <w:bCs/>
        </w:rPr>
        <w:t>límites al ejercicio del poder punitivo estatal</w:t>
      </w:r>
      <w:r w:rsidRPr="00106F4B">
        <w:t>.</w:t>
      </w:r>
    </w:p>
    <w:p w14:paraId="67386C08" w14:textId="77777777" w:rsidR="00106F4B" w:rsidRPr="00106F4B" w:rsidRDefault="00106F4B" w:rsidP="00106F4B">
      <w:r w:rsidRPr="00106F4B">
        <w:t xml:space="preserve">Desde esa perspectiva, el principio de retroactividad de la ley penal más benigna debe interpretarse conforme a las ideas de </w:t>
      </w:r>
      <w:r w:rsidRPr="00106F4B">
        <w:rPr>
          <w:b/>
          <w:bCs/>
        </w:rPr>
        <w:t>mínima intervención y ultima ratio</w:t>
      </w:r>
      <w:r w:rsidRPr="00106F4B">
        <w:t>.</w:t>
      </w:r>
    </w:p>
    <w:p w14:paraId="7A955867" w14:textId="77777777" w:rsidR="00106F4B" w:rsidRPr="00106F4B" w:rsidRDefault="00106F4B" w:rsidP="00106F4B">
      <w:pPr>
        <w:rPr>
          <w:b/>
          <w:bCs/>
        </w:rPr>
      </w:pPr>
      <w:r w:rsidRPr="00106F4B">
        <w:rPr>
          <w:b/>
          <w:bCs/>
        </w:rPr>
        <w:t>c. Contradicción de la decisión del juez de ejecución</w:t>
      </w:r>
    </w:p>
    <w:p w14:paraId="4E6D5E07" w14:textId="77777777" w:rsidR="00106F4B" w:rsidRPr="00106F4B" w:rsidRDefault="00106F4B" w:rsidP="00106F4B">
      <w:r w:rsidRPr="00106F4B">
        <w:t>Ledesma identifica una contradicción decisiva en la resolución recurrida.</w:t>
      </w:r>
    </w:p>
    <w:p w14:paraId="54BD2110" w14:textId="77777777" w:rsidR="00106F4B" w:rsidRPr="00106F4B" w:rsidRDefault="00106F4B" w:rsidP="00106F4B">
      <w:r w:rsidRPr="00106F4B">
        <w:t xml:space="preserve">El propio juez de ejecución había expresado que estaba </w:t>
      </w:r>
      <w:r w:rsidRPr="00106F4B">
        <w:rPr>
          <w:b/>
          <w:bCs/>
        </w:rPr>
        <w:t>“descartada la tipicidad de la conducta”</w:t>
      </w:r>
      <w:r w:rsidRPr="00106F4B">
        <w:t>, pero, pese a ello, se había limitado a declarar extinguida la pena.</w:t>
      </w:r>
    </w:p>
    <w:p w14:paraId="76AA3994" w14:textId="77777777" w:rsidR="00106F4B" w:rsidRPr="00106F4B" w:rsidRDefault="00106F4B" w:rsidP="00106F4B">
      <w:r w:rsidRPr="00106F4B">
        <w:t xml:space="preserve">Para Ledesma, si se reconoce que el hecho es atípico, la consecuencia jurídica necesaria es la </w:t>
      </w:r>
      <w:r w:rsidRPr="00106F4B">
        <w:rPr>
          <w:b/>
          <w:bCs/>
        </w:rPr>
        <w:t>absolución</w:t>
      </w:r>
      <w:r w:rsidRPr="00106F4B">
        <w:t>.</w:t>
      </w:r>
    </w:p>
    <w:p w14:paraId="7B6FC9A4" w14:textId="77777777" w:rsidR="00106F4B" w:rsidRPr="00106F4B" w:rsidRDefault="00106F4B" w:rsidP="00106F4B">
      <w:r w:rsidRPr="00106F4B">
        <w:t>No resulta coherente mantener una sentencia condenatoria por un hecho que el propio ordenamiento jurídico ya no considera delictivo.</w:t>
      </w:r>
    </w:p>
    <w:p w14:paraId="0A97818E" w14:textId="77777777" w:rsidR="00106F4B" w:rsidRPr="00106F4B" w:rsidRDefault="00106F4B" w:rsidP="00106F4B">
      <w:pPr>
        <w:rPr>
          <w:b/>
          <w:bCs/>
        </w:rPr>
      </w:pPr>
      <w:r w:rsidRPr="00106F4B">
        <w:rPr>
          <w:b/>
          <w:bCs/>
        </w:rPr>
        <w:t>d. Arbitrariedad</w:t>
      </w:r>
    </w:p>
    <w:p w14:paraId="7151EA7E" w14:textId="77777777" w:rsidR="00106F4B" w:rsidRPr="00106F4B" w:rsidRDefault="00106F4B" w:rsidP="00106F4B">
      <w:r w:rsidRPr="00106F4B">
        <w:lastRenderedPageBreak/>
        <w:t xml:space="preserve">Ledesma considera que la decisión recurrida incurre en </w:t>
      </w:r>
      <w:r w:rsidRPr="00106F4B">
        <w:rPr>
          <w:b/>
          <w:bCs/>
        </w:rPr>
        <w:t>arbitrariedad</w:t>
      </w:r>
      <w:r w:rsidRPr="00106F4B">
        <w:t>.</w:t>
      </w:r>
    </w:p>
    <w:p w14:paraId="6E9DCFAB" w14:textId="77777777" w:rsidR="00106F4B" w:rsidRPr="00106F4B" w:rsidRDefault="00106F4B" w:rsidP="00106F4B">
      <w:r w:rsidRPr="00106F4B">
        <w:t xml:space="preserve">La desaparición de la tipicidad exige la </w:t>
      </w:r>
      <w:r w:rsidRPr="00106F4B">
        <w:rPr>
          <w:b/>
          <w:bCs/>
        </w:rPr>
        <w:t>desincriminación de Pequeño</w:t>
      </w:r>
      <w:r w:rsidRPr="00106F4B">
        <w:t>, no simplemente el cese de la posibilidad estatal de ejecutar la pena.</w:t>
      </w:r>
    </w:p>
    <w:p w14:paraId="3734C28A" w14:textId="77777777" w:rsidR="00106F4B" w:rsidRPr="00106F4B" w:rsidRDefault="00106F4B" w:rsidP="00106F4B">
      <w:r w:rsidRPr="00106F4B">
        <w:t>Incluso señala que, aunque la defensa hubiera debido formular técnicamente su pretensión solicitando conjuntamente la aplicación de la ley penal más benigna y la absolución, correspondía al magistrado adoptar esta última solución.</w:t>
      </w:r>
    </w:p>
    <w:p w14:paraId="7E1805DD" w14:textId="77777777" w:rsidR="00106F4B" w:rsidRPr="00106F4B" w:rsidRDefault="00106F4B" w:rsidP="00106F4B">
      <w:pPr>
        <w:rPr>
          <w:b/>
          <w:bCs/>
        </w:rPr>
      </w:pPr>
      <w:r w:rsidRPr="00106F4B">
        <w:rPr>
          <w:b/>
          <w:bCs/>
        </w:rPr>
        <w:t>Posición de Ledesma</w:t>
      </w:r>
    </w:p>
    <w:p w14:paraId="7AA5F867" w14:textId="77777777" w:rsidR="00106F4B" w:rsidRPr="00106F4B" w:rsidRDefault="00106F4B" w:rsidP="00106F4B">
      <w:r w:rsidRPr="00106F4B">
        <w:t>Propone:</w:t>
      </w:r>
    </w:p>
    <w:p w14:paraId="4C3770D7" w14:textId="77777777" w:rsidR="00106F4B" w:rsidRPr="00106F4B" w:rsidRDefault="00106F4B" w:rsidP="00106F4B">
      <w:r w:rsidRPr="00106F4B">
        <w:rPr>
          <w:b/>
          <w:bCs/>
        </w:rPr>
        <w:t>1. Hacer lugar al recurso de la defensa.</w:t>
      </w:r>
    </w:p>
    <w:p w14:paraId="05F0D7D4" w14:textId="77777777" w:rsidR="00106F4B" w:rsidRPr="00106F4B" w:rsidRDefault="00106F4B" w:rsidP="00106F4B">
      <w:r w:rsidRPr="00106F4B">
        <w:rPr>
          <w:b/>
          <w:bCs/>
        </w:rPr>
        <w:t>2. Anular parcialmente la decisión recurrida.</w:t>
      </w:r>
    </w:p>
    <w:p w14:paraId="03948CD4" w14:textId="77777777" w:rsidR="00106F4B" w:rsidRPr="00106F4B" w:rsidRDefault="00106F4B" w:rsidP="00106F4B">
      <w:r w:rsidRPr="00106F4B">
        <w:rPr>
          <w:b/>
          <w:bCs/>
        </w:rPr>
        <w:t>3. Dejar sin efecto la sentencia condenatoria.</w:t>
      </w:r>
    </w:p>
    <w:p w14:paraId="74EB45F4" w14:textId="77777777" w:rsidR="00106F4B" w:rsidRPr="00106F4B" w:rsidRDefault="00106F4B" w:rsidP="00106F4B">
      <w:r w:rsidRPr="00106F4B">
        <w:rPr>
          <w:b/>
          <w:bCs/>
        </w:rPr>
        <w:t>4. Absolver a Romina Pamela Pequeño respecto de los hechos imputados.</w:t>
      </w:r>
    </w:p>
    <w:p w14:paraId="00E7908A" w14:textId="77777777" w:rsidR="00106F4B" w:rsidRPr="00106F4B" w:rsidRDefault="00106F4B" w:rsidP="00106F4B">
      <w:r w:rsidRPr="00106F4B">
        <w:rPr>
          <w:b/>
          <w:bCs/>
        </w:rPr>
        <w:t>5. Resolver sin costas.</w:t>
      </w:r>
    </w:p>
    <w:p w14:paraId="4EA0AB04" w14:textId="77777777" w:rsidR="00106F4B" w:rsidRPr="00106F4B" w:rsidRDefault="003770F1" w:rsidP="00106F4B">
      <w:r>
        <w:pict w14:anchorId="3B38D3B9">
          <v:rect id="_x0000_i1044" style="width:0;height:1.5pt" o:hralign="center" o:hrstd="t" o:hr="t" fillcolor="#a0a0a0" stroked="f"/>
        </w:pict>
      </w:r>
    </w:p>
    <w:p w14:paraId="04CD8ABB" w14:textId="77777777" w:rsidR="00106F4B" w:rsidRPr="00106F4B" w:rsidRDefault="00106F4B" w:rsidP="00106F4B">
      <w:pPr>
        <w:rPr>
          <w:b/>
          <w:bCs/>
        </w:rPr>
      </w:pPr>
      <w:r w:rsidRPr="00106F4B">
        <w:rPr>
          <w:b/>
          <w:bCs/>
        </w:rPr>
        <w:t>7. Voto de Guillermo J. Yacobucci</w:t>
      </w:r>
    </w:p>
    <w:p w14:paraId="5C4FD171" w14:textId="77777777" w:rsidR="00106F4B" w:rsidRPr="00106F4B" w:rsidRDefault="00106F4B" w:rsidP="00106F4B">
      <w:r w:rsidRPr="00106F4B">
        <w:rPr>
          <w:b/>
          <w:bCs/>
        </w:rPr>
        <w:t>Yacobucci coincide con la solución de Ledesma, aunque formula una salvedad procesal relevante.</w:t>
      </w:r>
    </w:p>
    <w:p w14:paraId="7D22CE03" w14:textId="77777777" w:rsidR="00106F4B" w:rsidRPr="00106F4B" w:rsidRDefault="00106F4B" w:rsidP="00106F4B">
      <w:r w:rsidRPr="00106F4B">
        <w:t xml:space="preserve">Considera que la cuestión </w:t>
      </w:r>
      <w:r w:rsidRPr="00106F4B">
        <w:rPr>
          <w:b/>
          <w:bCs/>
        </w:rPr>
        <w:t>debió tramitar ante la Cámara mediante la vía específica correspondiente al recurso de revisión</w:t>
      </w:r>
      <w:r w:rsidRPr="00106F4B">
        <w:t>.</w:t>
      </w:r>
    </w:p>
    <w:p w14:paraId="3B4653DC" w14:textId="77777777" w:rsidR="00106F4B" w:rsidRPr="00106F4B" w:rsidRDefault="00106F4B" w:rsidP="00106F4B">
      <w:r w:rsidRPr="00106F4B">
        <w:t>Sin embargo, decide no detenerse en ese obstáculo formal por razones de:</w:t>
      </w:r>
    </w:p>
    <w:p w14:paraId="140BE1B0" w14:textId="77777777" w:rsidR="00106F4B" w:rsidRPr="00106F4B" w:rsidRDefault="00106F4B" w:rsidP="00447176">
      <w:pPr>
        <w:numPr>
          <w:ilvl w:val="0"/>
          <w:numId w:val="6"/>
        </w:numPr>
      </w:pPr>
      <w:r w:rsidRPr="00106F4B">
        <w:t>economía procesal;</w:t>
      </w:r>
    </w:p>
    <w:p w14:paraId="26DDCA59" w14:textId="77777777" w:rsidR="00106F4B" w:rsidRPr="00106F4B" w:rsidRDefault="00106F4B" w:rsidP="00447176">
      <w:pPr>
        <w:numPr>
          <w:ilvl w:val="0"/>
          <w:numId w:val="6"/>
        </w:numPr>
      </w:pPr>
      <w:r w:rsidRPr="00106F4B">
        <w:t>celeridad;</w:t>
      </w:r>
    </w:p>
    <w:p w14:paraId="25A86EA8" w14:textId="77777777" w:rsidR="00106F4B" w:rsidRPr="00106F4B" w:rsidRDefault="00106F4B" w:rsidP="00447176">
      <w:pPr>
        <w:numPr>
          <w:ilvl w:val="0"/>
          <w:numId w:val="6"/>
        </w:numPr>
      </w:pPr>
      <w:r w:rsidRPr="00106F4B">
        <w:t>mejor administración de justicia.</w:t>
      </w:r>
    </w:p>
    <w:p w14:paraId="49A9F0F5" w14:textId="77777777" w:rsidR="00106F4B" w:rsidRPr="00106F4B" w:rsidRDefault="00106F4B" w:rsidP="00106F4B">
      <w:r w:rsidRPr="00106F4B">
        <w:t xml:space="preserve">Se remite además a sus posiciones anteriores en </w:t>
      </w:r>
      <w:r w:rsidRPr="00106F4B">
        <w:rPr>
          <w:b/>
          <w:bCs/>
        </w:rPr>
        <w:t>“Pitalivo”</w:t>
      </w:r>
      <w:r w:rsidRPr="00106F4B">
        <w:t xml:space="preserve">, </w:t>
      </w:r>
      <w:r w:rsidRPr="00106F4B">
        <w:rPr>
          <w:b/>
          <w:bCs/>
        </w:rPr>
        <w:t>“Chotro”</w:t>
      </w:r>
      <w:r w:rsidRPr="00106F4B">
        <w:t xml:space="preserve"> y </w:t>
      </w:r>
      <w:r w:rsidRPr="00106F4B">
        <w:rPr>
          <w:b/>
          <w:bCs/>
        </w:rPr>
        <w:t>“Saquer”</w:t>
      </w:r>
      <w:r w:rsidRPr="00106F4B">
        <w:t>.</w:t>
      </w:r>
    </w:p>
    <w:p w14:paraId="178DBD40" w14:textId="77777777" w:rsidR="00106F4B" w:rsidRPr="00106F4B" w:rsidRDefault="00106F4B" w:rsidP="00106F4B">
      <w:r w:rsidRPr="00106F4B">
        <w:t xml:space="preserve">Superado ese reparo formal, </w:t>
      </w:r>
      <w:r w:rsidRPr="00106F4B">
        <w:rPr>
          <w:b/>
          <w:bCs/>
        </w:rPr>
        <w:t>adhiere a la solución propuesta por Ledesma</w:t>
      </w:r>
      <w:r w:rsidRPr="00106F4B">
        <w:t>, es decir, dejar sin efecto la condena y absolver a Pequeño.</w:t>
      </w:r>
    </w:p>
    <w:p w14:paraId="33A1F659" w14:textId="77777777" w:rsidR="00106F4B" w:rsidRPr="00106F4B" w:rsidRDefault="00106F4B" w:rsidP="00106F4B">
      <w:r w:rsidRPr="00106F4B">
        <w:t xml:space="preserve">Por consiguiente, Yacobucci coincide con el resultado sustancial, pero deja asentado que </w:t>
      </w:r>
      <w:r w:rsidRPr="00106F4B">
        <w:rPr>
          <w:b/>
          <w:bCs/>
        </w:rPr>
        <w:t>la vía procesal utilizada no era, a su criterio, la técnicamente adecuada</w:t>
      </w:r>
      <w:r w:rsidRPr="00106F4B">
        <w:t>.</w:t>
      </w:r>
    </w:p>
    <w:p w14:paraId="677493B7" w14:textId="77777777" w:rsidR="00106F4B" w:rsidRPr="00106F4B" w:rsidRDefault="003770F1" w:rsidP="00106F4B">
      <w:r>
        <w:pict w14:anchorId="0E1F3D92">
          <v:rect id="_x0000_i1045" style="width:0;height:1.5pt" o:hralign="center" o:hrstd="t" o:hr="t" fillcolor="#a0a0a0" stroked="f"/>
        </w:pict>
      </w:r>
    </w:p>
    <w:p w14:paraId="7E53B615" w14:textId="77777777" w:rsidR="00106F4B" w:rsidRPr="00106F4B" w:rsidRDefault="00106F4B" w:rsidP="00106F4B">
      <w:pPr>
        <w:rPr>
          <w:b/>
          <w:bCs/>
        </w:rPr>
      </w:pPr>
      <w:r w:rsidRPr="00106F4B">
        <w:rPr>
          <w:b/>
          <w:bCs/>
        </w:rPr>
        <w:t>8. Voto de Alejandro W. Slokar</w:t>
      </w:r>
    </w:p>
    <w:p w14:paraId="6C7D4554" w14:textId="77777777" w:rsidR="00106F4B" w:rsidRPr="00106F4B" w:rsidRDefault="00106F4B" w:rsidP="00106F4B">
      <w:r w:rsidRPr="00106F4B">
        <w:rPr>
          <w:b/>
          <w:bCs/>
        </w:rPr>
        <w:t>Slokar también coincide con la absolución.</w:t>
      </w:r>
    </w:p>
    <w:p w14:paraId="1CD9918B" w14:textId="77777777" w:rsidR="00106F4B" w:rsidRPr="00106F4B" w:rsidRDefault="00106F4B" w:rsidP="00106F4B">
      <w:r w:rsidRPr="00106F4B">
        <w:t xml:space="preserve">Su voto es breve y remite al criterio que había adoptado recientemente en los precedentes </w:t>
      </w:r>
      <w:r w:rsidRPr="00106F4B">
        <w:rPr>
          <w:b/>
          <w:bCs/>
        </w:rPr>
        <w:t>“Chotro”</w:t>
      </w:r>
      <w:r w:rsidRPr="00106F4B">
        <w:t xml:space="preserve"> y </w:t>
      </w:r>
      <w:r w:rsidRPr="00106F4B">
        <w:rPr>
          <w:b/>
          <w:bCs/>
        </w:rPr>
        <w:t>“Saquer”</w:t>
      </w:r>
      <w:r w:rsidRPr="00106F4B">
        <w:t>, ambos resueltos el 7 de julio de 2026.</w:t>
      </w:r>
    </w:p>
    <w:p w14:paraId="61B135DF" w14:textId="77777777" w:rsidR="00106F4B" w:rsidRPr="00106F4B" w:rsidRDefault="00106F4B" w:rsidP="00106F4B">
      <w:r w:rsidRPr="00106F4B">
        <w:t>Comparte con Ledesma y Yacobucci que corresponde:</w:t>
      </w:r>
    </w:p>
    <w:p w14:paraId="666C8493" w14:textId="77777777" w:rsidR="00106F4B" w:rsidRPr="00106F4B" w:rsidRDefault="00106F4B" w:rsidP="00447176">
      <w:pPr>
        <w:numPr>
          <w:ilvl w:val="0"/>
          <w:numId w:val="7"/>
        </w:numPr>
      </w:pPr>
      <w:r w:rsidRPr="00106F4B">
        <w:lastRenderedPageBreak/>
        <w:t>hacer lugar al reclamo de la defensa;</w:t>
      </w:r>
    </w:p>
    <w:p w14:paraId="6C26F010" w14:textId="77777777" w:rsidR="00106F4B" w:rsidRPr="00106F4B" w:rsidRDefault="00106F4B" w:rsidP="00447176">
      <w:pPr>
        <w:numPr>
          <w:ilvl w:val="0"/>
          <w:numId w:val="7"/>
        </w:numPr>
      </w:pPr>
      <w:r w:rsidRPr="00106F4B">
        <w:t>anular parcialmente la decisión;</w:t>
      </w:r>
    </w:p>
    <w:p w14:paraId="2CD48EE6" w14:textId="77777777" w:rsidR="00106F4B" w:rsidRPr="00106F4B" w:rsidRDefault="00106F4B" w:rsidP="00447176">
      <w:pPr>
        <w:numPr>
          <w:ilvl w:val="0"/>
          <w:numId w:val="7"/>
        </w:numPr>
      </w:pPr>
      <w:r w:rsidRPr="00106F4B">
        <w:t xml:space="preserve">y </w:t>
      </w:r>
      <w:r w:rsidRPr="00106F4B">
        <w:rPr>
          <w:b/>
          <w:bCs/>
        </w:rPr>
        <w:t>absolver a Romina Pamela Pequeño</w:t>
      </w:r>
      <w:r w:rsidRPr="00106F4B">
        <w:t xml:space="preserve"> respecto del hecho objeto de acusación.</w:t>
      </w:r>
    </w:p>
    <w:p w14:paraId="717AD569" w14:textId="77777777" w:rsidR="00106F4B" w:rsidRPr="00106F4B" w:rsidRDefault="00106F4B" w:rsidP="00106F4B">
      <w:r w:rsidRPr="00106F4B">
        <w:t xml:space="preserve">También coincide en que la decisión debe adoptarse </w:t>
      </w:r>
      <w:r w:rsidRPr="00106F4B">
        <w:rPr>
          <w:b/>
          <w:bCs/>
        </w:rPr>
        <w:t>sin costas</w:t>
      </w:r>
      <w:r w:rsidRPr="00106F4B">
        <w:t>.</w:t>
      </w:r>
    </w:p>
    <w:p w14:paraId="1059FE68" w14:textId="77777777" w:rsidR="00106F4B" w:rsidRPr="00106F4B" w:rsidRDefault="003770F1" w:rsidP="00106F4B">
      <w:r>
        <w:pict w14:anchorId="5F89C9F4">
          <v:rect id="_x0000_i1046" style="width:0;height:1.5pt" o:hralign="center" o:hrstd="t" o:hr="t" fillcolor="#a0a0a0" stroked="f"/>
        </w:pict>
      </w:r>
    </w:p>
    <w:p w14:paraId="67818690" w14:textId="77777777" w:rsidR="00106F4B" w:rsidRPr="00106F4B" w:rsidRDefault="00106F4B" w:rsidP="00106F4B">
      <w:pPr>
        <w:rPr>
          <w:b/>
          <w:bCs/>
        </w:rPr>
      </w:pPr>
      <w:r w:rsidRPr="00106F4B">
        <w:rPr>
          <w:b/>
          <w:bCs/>
        </w:rPr>
        <w:t>9. Resolución de la Sala II</w:t>
      </w:r>
    </w:p>
    <w:p w14:paraId="6F1437A6" w14:textId="77777777" w:rsidR="00106F4B" w:rsidRPr="00106F4B" w:rsidRDefault="00106F4B" w:rsidP="00106F4B">
      <w:r w:rsidRPr="00106F4B">
        <w:t xml:space="preserve">La decisión fue </w:t>
      </w:r>
      <w:r w:rsidRPr="00106F4B">
        <w:rPr>
          <w:b/>
          <w:bCs/>
        </w:rPr>
        <w:t>unánime</w:t>
      </w:r>
      <w:r w:rsidRPr="00106F4B">
        <w:t>.</w:t>
      </w:r>
    </w:p>
    <w:p w14:paraId="75A7C660" w14:textId="77777777" w:rsidR="00106F4B" w:rsidRPr="00106F4B" w:rsidRDefault="00106F4B" w:rsidP="00106F4B">
      <w:r w:rsidRPr="00106F4B">
        <w:t>La Sala II de la Cámara Federal de Casación Penal resolvió:</w:t>
      </w:r>
    </w:p>
    <w:p w14:paraId="40724072" w14:textId="77777777" w:rsidR="00106F4B" w:rsidRPr="00106F4B" w:rsidRDefault="00106F4B" w:rsidP="00106F4B">
      <w:r w:rsidRPr="00106F4B">
        <w:rPr>
          <w:b/>
          <w:bCs/>
        </w:rPr>
        <w:t>1. HACER LUGAR, sin costas, al recurso interpuesto por la defensa de Romina Pamela Pequeño.</w:t>
      </w:r>
    </w:p>
    <w:p w14:paraId="7A1F1AB8" w14:textId="77777777" w:rsidR="00106F4B" w:rsidRPr="00106F4B" w:rsidRDefault="00106F4B" w:rsidP="00106F4B">
      <w:r w:rsidRPr="00106F4B">
        <w:rPr>
          <w:b/>
          <w:bCs/>
        </w:rPr>
        <w:t>2. ANULAR PARCIALMENTE la resolución recurrida.</w:t>
      </w:r>
    </w:p>
    <w:p w14:paraId="165105B9" w14:textId="77777777" w:rsidR="00106F4B" w:rsidRPr="00106F4B" w:rsidRDefault="00106F4B" w:rsidP="00106F4B">
      <w:r w:rsidRPr="00106F4B">
        <w:rPr>
          <w:b/>
          <w:bCs/>
        </w:rPr>
        <w:t>3. DEJAR SIN EFECTO la sentencia condenatoria que pesaba sobre Pequeño.</w:t>
      </w:r>
    </w:p>
    <w:p w14:paraId="3D554DDE" w14:textId="77777777" w:rsidR="00106F4B" w:rsidRPr="00106F4B" w:rsidRDefault="00106F4B" w:rsidP="00106F4B">
      <w:r w:rsidRPr="00106F4B">
        <w:rPr>
          <w:b/>
          <w:bCs/>
        </w:rPr>
        <w:t>4. ABSOLVERLA respecto de los hechos materia de reproche.</w:t>
      </w:r>
    </w:p>
    <w:p w14:paraId="0C991851" w14:textId="77777777" w:rsidR="00106F4B" w:rsidRPr="00106F4B" w:rsidRDefault="00106F4B" w:rsidP="00106F4B">
      <w:pPr>
        <w:rPr>
          <w:b/>
          <w:bCs/>
        </w:rPr>
      </w:pPr>
      <w:r w:rsidRPr="00106F4B">
        <w:rPr>
          <w:b/>
          <w:bCs/>
        </w:rPr>
        <w:t>Síntesis de la doctrina central del fallo</w:t>
      </w:r>
    </w:p>
    <w:p w14:paraId="684686A8" w14:textId="77777777" w:rsidR="00106F4B" w:rsidRPr="00106F4B" w:rsidRDefault="00106F4B" w:rsidP="00106F4B">
      <w:r w:rsidRPr="00106F4B">
        <w:t xml:space="preserve">El aspecto más relevante del pronunciamiento no reside en determinar si la </w:t>
      </w:r>
      <w:r w:rsidRPr="00106F4B">
        <w:rPr>
          <w:b/>
          <w:bCs/>
        </w:rPr>
        <w:t>ley 27.799 es retroactivamente aplicable</w:t>
      </w:r>
      <w:r w:rsidRPr="00106F4B">
        <w:t xml:space="preserve"> —punto sobre el cual no existía controversia—, sino en establecer </w:t>
      </w:r>
      <w:r w:rsidRPr="00106F4B">
        <w:rPr>
          <w:b/>
          <w:bCs/>
        </w:rPr>
        <w:t>qué consecuencias debe producir la ley penal más benigna respecto de una condena que ya se encuentra firme y en etapa de ejecución</w:t>
      </w:r>
      <w:r w:rsidRPr="00106F4B">
        <w:t>.</w:t>
      </w:r>
    </w:p>
    <w:p w14:paraId="74A8D3D0" w14:textId="77777777" w:rsidR="00106F4B" w:rsidRPr="00106F4B" w:rsidRDefault="00106F4B" w:rsidP="00106F4B">
      <w:r w:rsidRPr="00106F4B">
        <w:t>La Sala II distingue claramente dos situaciones:</w:t>
      </w:r>
    </w:p>
    <w:p w14:paraId="0BD2CB47" w14:textId="77777777" w:rsidR="00106F4B" w:rsidRPr="00106F4B" w:rsidRDefault="00106F4B" w:rsidP="00106F4B">
      <w:r w:rsidRPr="00106F4B">
        <w:rPr>
          <w:b/>
          <w:bCs/>
        </w:rPr>
        <w:t>Extinción de la pena:</w:t>
      </w:r>
      <w:r w:rsidRPr="00106F4B">
        <w:t xml:space="preserve"> cesa el poder estatal para ejecutar la sanción, pero </w:t>
      </w:r>
      <w:r w:rsidRPr="00106F4B">
        <w:rPr>
          <w:b/>
          <w:bCs/>
        </w:rPr>
        <w:t>subsisten la condena y la declaración de culpabilidad</w:t>
      </w:r>
      <w:r w:rsidRPr="00106F4B">
        <w:t>, con sus eventuales efectos registrales.</w:t>
      </w:r>
    </w:p>
    <w:p w14:paraId="30CD07E2" w14:textId="77777777" w:rsidR="00106F4B" w:rsidRPr="00106F4B" w:rsidRDefault="00106F4B" w:rsidP="00106F4B">
      <w:r w:rsidRPr="00106F4B">
        <w:rPr>
          <w:b/>
          <w:bCs/>
        </w:rPr>
        <w:t>Absolución por atipicidad sobrevenida:</w:t>
      </w:r>
      <w:r w:rsidRPr="00106F4B">
        <w:t xml:space="preserve"> desaparece el propio fundamento jurídico de la condena porque el hecho </w:t>
      </w:r>
      <w:r w:rsidRPr="00106F4B">
        <w:rPr>
          <w:b/>
          <w:bCs/>
        </w:rPr>
        <w:t>ya no es delito</w:t>
      </w:r>
      <w:r w:rsidRPr="00106F4B">
        <w:t>, razón por la cual debe eliminarse la declaración de responsabilidad penal.</w:t>
      </w:r>
    </w:p>
    <w:p w14:paraId="44B43F92" w14:textId="77777777" w:rsidR="00106F4B" w:rsidRPr="00106F4B" w:rsidRDefault="00106F4B" w:rsidP="00106F4B">
      <w:r w:rsidRPr="00106F4B">
        <w:t xml:space="preserve">La Sala adopta esta segunda solución. Si la ley posterior más benigna determina la </w:t>
      </w:r>
      <w:r w:rsidRPr="00106F4B">
        <w:rPr>
          <w:b/>
          <w:bCs/>
        </w:rPr>
        <w:t>atipicidad del hecho</w:t>
      </w:r>
      <w:r w:rsidRPr="00106F4B">
        <w:t xml:space="preserve">, no basta con declarar extinguida la pena: corresponde </w:t>
      </w:r>
      <w:r w:rsidRPr="00106F4B">
        <w:rPr>
          <w:b/>
          <w:bCs/>
        </w:rPr>
        <w:t>dejar sin efecto la sentencia condenatoria y absolver al condenado</w:t>
      </w:r>
      <w:r w:rsidRPr="00106F4B">
        <w:t xml:space="preserve">. En este punto existe coincidencia de </w:t>
      </w:r>
      <w:r w:rsidRPr="00106F4B">
        <w:rPr>
          <w:b/>
          <w:bCs/>
        </w:rPr>
        <w:t>Ledesma, Yacobucci y Slokar</w:t>
      </w:r>
      <w:r w:rsidRPr="00106F4B">
        <w:t>, aunque Yacobucci deja expresamente a salvo su posición acerca de que la cuestión debió canalizarse procesalmente mediante un recurso de revisión.</w:t>
      </w:r>
    </w:p>
    <w:p w14:paraId="63CAE81D" w14:textId="009DF870" w:rsidR="00106F4B" w:rsidRDefault="00106F4B" w:rsidP="00A245F2"/>
    <w:p w14:paraId="475089F9" w14:textId="10A492F1" w:rsidR="00447176" w:rsidRPr="003770F1" w:rsidRDefault="00447176" w:rsidP="00A245F2">
      <w:pPr>
        <w:rPr>
          <w:b/>
          <w:bCs/>
          <w:u w:val="single"/>
        </w:rPr>
      </w:pPr>
      <w:r w:rsidRPr="003770F1">
        <w:rPr>
          <w:b/>
          <w:bCs/>
          <w:u w:val="single"/>
        </w:rPr>
        <w:t>FALLO VI</w:t>
      </w:r>
    </w:p>
    <w:p w14:paraId="6485252F" w14:textId="77777777" w:rsidR="00447176" w:rsidRPr="00447176" w:rsidRDefault="00447176" w:rsidP="00447176">
      <w:r w:rsidRPr="00447176">
        <w:rPr>
          <w:b/>
          <w:bCs/>
        </w:rPr>
        <w:t>Autos:</w:t>
      </w:r>
      <w:r w:rsidRPr="00447176">
        <w:t xml:space="preserve"> “Saquer, Valeria Laura s/recurso de revisión”, causa </w:t>
      </w:r>
      <w:r w:rsidRPr="00447176">
        <w:rPr>
          <w:b/>
          <w:bCs/>
        </w:rPr>
        <w:t>CPE 995/2016/TO1/16/RH3</w:t>
      </w:r>
      <w:r w:rsidRPr="00447176">
        <w:t xml:space="preserve">, Registro N.º </w:t>
      </w:r>
      <w:r w:rsidRPr="00447176">
        <w:rPr>
          <w:b/>
          <w:bCs/>
        </w:rPr>
        <w:t>856/26</w:t>
      </w:r>
      <w:r w:rsidRPr="00447176">
        <w:t>.</w:t>
      </w:r>
      <w:r w:rsidRPr="00447176">
        <w:br/>
      </w:r>
      <w:r w:rsidRPr="00447176">
        <w:rPr>
          <w:b/>
          <w:bCs/>
        </w:rPr>
        <w:t>Tribunal:</w:t>
      </w:r>
      <w:r w:rsidRPr="00447176">
        <w:t xml:space="preserve"> </w:t>
      </w:r>
      <w:r w:rsidRPr="00447176">
        <w:rPr>
          <w:b/>
          <w:bCs/>
        </w:rPr>
        <w:t>Cámara Federal de Casación Penal, Sala II</w:t>
      </w:r>
      <w:r w:rsidRPr="00447176">
        <w:t xml:space="preserve">, integrada por </w:t>
      </w:r>
      <w:r w:rsidRPr="00447176">
        <w:rPr>
          <w:b/>
          <w:bCs/>
        </w:rPr>
        <w:t>Guillermo J. Yacobucci</w:t>
      </w:r>
      <w:r w:rsidRPr="00447176">
        <w:t xml:space="preserve"> —presidente—, </w:t>
      </w:r>
      <w:r w:rsidRPr="00447176">
        <w:rPr>
          <w:b/>
          <w:bCs/>
        </w:rPr>
        <w:t>Ángela E. Ledesma</w:t>
      </w:r>
      <w:r w:rsidRPr="00447176">
        <w:t xml:space="preserve"> y </w:t>
      </w:r>
      <w:r w:rsidRPr="00447176">
        <w:rPr>
          <w:b/>
          <w:bCs/>
        </w:rPr>
        <w:t>Alejandro W. Slokar</w:t>
      </w:r>
      <w:r w:rsidRPr="00447176">
        <w:t xml:space="preserve"> —vocales—.</w:t>
      </w:r>
      <w:r w:rsidRPr="00447176">
        <w:br/>
      </w:r>
      <w:r w:rsidRPr="00447176">
        <w:rPr>
          <w:b/>
          <w:bCs/>
        </w:rPr>
        <w:t>Fecha de resolución:</w:t>
      </w:r>
      <w:r w:rsidRPr="00447176">
        <w:t xml:space="preserve"> </w:t>
      </w:r>
      <w:r w:rsidRPr="00447176">
        <w:rPr>
          <w:b/>
          <w:bCs/>
        </w:rPr>
        <w:t>7 de julio de 2026</w:t>
      </w:r>
      <w:r w:rsidRPr="00447176">
        <w:t>. El orden de votación fue Slokar, Ledesma y Yacobucci.</w:t>
      </w:r>
    </w:p>
    <w:p w14:paraId="62F05EE7" w14:textId="77777777" w:rsidR="00447176" w:rsidRPr="00447176" w:rsidRDefault="00447176" w:rsidP="00447176">
      <w:r w:rsidRPr="00447176">
        <w:lastRenderedPageBreak/>
        <w:t xml:space="preserve">El pronunciamiento resuelve el </w:t>
      </w:r>
      <w:r w:rsidRPr="00447176">
        <w:rPr>
          <w:b/>
          <w:bCs/>
        </w:rPr>
        <w:t>recurso de revisión</w:t>
      </w:r>
      <w:r w:rsidRPr="00447176">
        <w:t xml:space="preserve"> deducido por la defensa de Valeria Laura Saquer contra una sentencia condenatoria firme por </w:t>
      </w:r>
      <w:r w:rsidRPr="00447176">
        <w:rPr>
          <w:b/>
          <w:bCs/>
        </w:rPr>
        <w:t>apropiación indebida de recursos de la seguridad social</w:t>
      </w:r>
      <w:r w:rsidRPr="00447176">
        <w:t xml:space="preserve">, a raíz de la entrada en vigencia de la </w:t>
      </w:r>
      <w:r w:rsidRPr="00447176">
        <w:rPr>
          <w:b/>
          <w:bCs/>
        </w:rPr>
        <w:t>ley 27.799</w:t>
      </w:r>
      <w:r w:rsidRPr="00447176">
        <w:t xml:space="preserve">, que elevó a </w:t>
      </w:r>
      <w:r w:rsidRPr="00447176">
        <w:rPr>
          <w:b/>
          <w:bCs/>
        </w:rPr>
        <w:t>$3.500.000</w:t>
      </w:r>
      <w:r w:rsidRPr="00447176">
        <w:t xml:space="preserve"> el umbral de punibilidad de esa figura. La cuestión central consiste en determinar si ese cambio legislativo puede aplicarse retroactivamente incluso frente a una condena pasada en autoridad de cosa juzgada.</w:t>
      </w:r>
    </w:p>
    <w:p w14:paraId="3A75B429" w14:textId="77777777" w:rsidR="00447176" w:rsidRPr="00447176" w:rsidRDefault="00447176" w:rsidP="00447176">
      <w:pPr>
        <w:rPr>
          <w:b/>
          <w:bCs/>
        </w:rPr>
      </w:pPr>
      <w:r w:rsidRPr="00447176">
        <w:rPr>
          <w:b/>
          <w:bCs/>
        </w:rPr>
        <w:t>1. Antecedentes fácticos</w:t>
      </w:r>
    </w:p>
    <w:p w14:paraId="508D667B" w14:textId="77777777" w:rsidR="00447176" w:rsidRPr="00447176" w:rsidRDefault="00447176" w:rsidP="00447176">
      <w:r w:rsidRPr="00447176">
        <w:t xml:space="preserve">La causa se originó en la </w:t>
      </w:r>
      <w:r w:rsidRPr="00447176">
        <w:rPr>
          <w:b/>
          <w:bCs/>
        </w:rPr>
        <w:t>falta de depósito de aportes previsionales retenidos a los dependientes de Clantex S.A.</w:t>
      </w:r>
      <w:r w:rsidRPr="00447176">
        <w:t>, con destino al Régimen Nacional de la Seguridad Social.</w:t>
      </w:r>
    </w:p>
    <w:p w14:paraId="5BA15180" w14:textId="77777777" w:rsidR="00447176" w:rsidRPr="00447176" w:rsidRDefault="00447176" w:rsidP="00447176">
      <w:r w:rsidRPr="00447176">
        <w:t>Se tuvieron por acreditadas retenciones no ingresadas correspondientes a los períodos:</w:t>
      </w:r>
    </w:p>
    <w:p w14:paraId="56C08D04" w14:textId="77777777" w:rsidR="00447176" w:rsidRPr="00447176" w:rsidRDefault="00447176" w:rsidP="00447176">
      <w:r w:rsidRPr="00447176">
        <w:rPr>
          <w:b/>
          <w:bCs/>
        </w:rPr>
        <w:t>12/2011; 6/2012; 12/2012; 1/2013; 6/2013; 10/2013 a 1/2014; y 5/2014 a 3/2015</w:t>
      </w:r>
      <w:r w:rsidRPr="00447176">
        <w:t>, ambos inclusive.</w:t>
      </w:r>
    </w:p>
    <w:p w14:paraId="33EEB369" w14:textId="77777777" w:rsidR="00447176" w:rsidRPr="00447176" w:rsidRDefault="00447176" w:rsidP="00447176">
      <w:r w:rsidRPr="00447176">
        <w:t xml:space="preserve">Los montos correspondientes a cada período oscilaban aproximadamente entre </w:t>
      </w:r>
      <w:r w:rsidRPr="00447176">
        <w:rPr>
          <w:b/>
          <w:bCs/>
        </w:rPr>
        <w:t>$102.000 y $300.000</w:t>
      </w:r>
      <w:r w:rsidRPr="00447176">
        <w:t>. Ninguno alcanzaba individualmente los $3.500.000 que posteriormente estableció la ley 27.799 como nueva condición objetiva de punibilidad.</w:t>
      </w:r>
    </w:p>
    <w:p w14:paraId="67659EA1" w14:textId="77777777" w:rsidR="00447176" w:rsidRPr="00447176" w:rsidRDefault="00447176" w:rsidP="00447176">
      <w:pPr>
        <w:rPr>
          <w:b/>
          <w:bCs/>
        </w:rPr>
      </w:pPr>
      <w:r w:rsidRPr="00447176">
        <w:rPr>
          <w:b/>
          <w:bCs/>
        </w:rPr>
        <w:t>2. Sentencia condenatoria original</w:t>
      </w:r>
    </w:p>
    <w:p w14:paraId="40837E60" w14:textId="77777777" w:rsidR="00447176" w:rsidRPr="00447176" w:rsidRDefault="00447176" w:rsidP="00447176">
      <w:r w:rsidRPr="00447176">
        <w:t>El Tribunal Oral en lo Penal Económico N.º 2 había condenado, mediante una sentencia que adquirió firmeza, a:</w:t>
      </w:r>
    </w:p>
    <w:p w14:paraId="0F93F455" w14:textId="77777777" w:rsidR="00447176" w:rsidRPr="00447176" w:rsidRDefault="00447176" w:rsidP="00447176">
      <w:r w:rsidRPr="00447176">
        <w:rPr>
          <w:b/>
          <w:bCs/>
        </w:rPr>
        <w:t>Clantex S.A.</w:t>
      </w:r>
      <w:r w:rsidRPr="00447176">
        <w:t>, como autora del delito, imponiéndole sanciones consistentes, entre otras, en suspensión para participar en concursos y licitaciones estatales, suspensión de beneficios estatales, publicación de la sentencia y costas.</w:t>
      </w:r>
    </w:p>
    <w:p w14:paraId="3A1110FC" w14:textId="77777777" w:rsidR="00447176" w:rsidRPr="00447176" w:rsidRDefault="00447176" w:rsidP="00447176">
      <w:r w:rsidRPr="00447176">
        <w:rPr>
          <w:b/>
          <w:bCs/>
        </w:rPr>
        <w:t>Valeria Laura Saquer</w:t>
      </w:r>
      <w:r w:rsidRPr="00447176">
        <w:t xml:space="preserve">, como autora del delito de apropiación indebida de recursos de la seguridad social, a </w:t>
      </w:r>
      <w:r w:rsidRPr="00447176">
        <w:rPr>
          <w:b/>
          <w:bCs/>
        </w:rPr>
        <w:t>dos años y ocho meses de prisión de ejecución condicional y costas</w:t>
      </w:r>
      <w:r w:rsidRPr="00447176">
        <w:t>.</w:t>
      </w:r>
    </w:p>
    <w:p w14:paraId="3BC55E8D" w14:textId="77777777" w:rsidR="00447176" w:rsidRPr="00447176" w:rsidRDefault="00447176" w:rsidP="00447176">
      <w:r w:rsidRPr="00447176">
        <w:t xml:space="preserve">También había sido condenado </w:t>
      </w:r>
      <w:r w:rsidRPr="00447176">
        <w:rPr>
          <w:b/>
          <w:bCs/>
        </w:rPr>
        <w:t>Nayib Saquer</w:t>
      </w:r>
      <w:r w:rsidRPr="00447176">
        <w:t xml:space="preserve"> por los mismos hechos previsionales, en concurso real con otro delito relacionado con el libramiento de cheques.</w:t>
      </w:r>
    </w:p>
    <w:p w14:paraId="1DC91A3F" w14:textId="77777777" w:rsidR="00447176" w:rsidRPr="00447176" w:rsidRDefault="00447176" w:rsidP="00447176">
      <w:r w:rsidRPr="00447176">
        <w:t xml:space="preserve">La condena había sido dictada en el marco de un </w:t>
      </w:r>
      <w:r w:rsidRPr="00447176">
        <w:rPr>
          <w:b/>
          <w:bCs/>
        </w:rPr>
        <w:t>juicio abreviado</w:t>
      </w:r>
      <w:r w:rsidRPr="00447176">
        <w:t>, cuyo acuerdo fue suscripto el 29 de febrero de 2024.</w:t>
      </w:r>
    </w:p>
    <w:p w14:paraId="4700A041" w14:textId="77777777" w:rsidR="00447176" w:rsidRPr="00447176" w:rsidRDefault="00447176" w:rsidP="00447176">
      <w:pPr>
        <w:rPr>
          <w:b/>
          <w:bCs/>
        </w:rPr>
      </w:pPr>
      <w:r w:rsidRPr="00447176">
        <w:rPr>
          <w:b/>
          <w:bCs/>
        </w:rPr>
        <w:t>3. Modificación legislativa: ley 27.799</w:t>
      </w:r>
    </w:p>
    <w:p w14:paraId="7E10AE62" w14:textId="77777777" w:rsidR="00447176" w:rsidRPr="00447176" w:rsidRDefault="00447176" w:rsidP="00447176">
      <w:r w:rsidRPr="00447176">
        <w:t xml:space="preserve">El </w:t>
      </w:r>
      <w:r w:rsidRPr="00447176">
        <w:rPr>
          <w:b/>
          <w:bCs/>
        </w:rPr>
        <w:t>2 de enero de 2026</w:t>
      </w:r>
      <w:r w:rsidRPr="00447176">
        <w:t xml:space="preserve"> se promulgó la ley 27.799, sancionada el 26 de diciembre de 2025.</w:t>
      </w:r>
    </w:p>
    <w:p w14:paraId="60FEDE76" w14:textId="77777777" w:rsidR="00447176" w:rsidRPr="00447176" w:rsidRDefault="00447176" w:rsidP="00447176">
      <w:r w:rsidRPr="00447176">
        <w:t xml:space="preserve">En lo pertinente, modificó el art. 7 del Régimen Penal Tributario y elevó la condición objetiva de punibilidad de la apropiación indebida de recursos de la seguridad social de </w:t>
      </w:r>
      <w:r w:rsidRPr="00447176">
        <w:rPr>
          <w:b/>
          <w:bCs/>
        </w:rPr>
        <w:t>$100.000 a $3.500.000</w:t>
      </w:r>
      <w:r w:rsidRPr="00447176">
        <w:t>.</w:t>
      </w:r>
    </w:p>
    <w:p w14:paraId="2CA92E42" w14:textId="77777777" w:rsidR="00447176" w:rsidRPr="00447176" w:rsidRDefault="00447176" w:rsidP="00447176">
      <w:r w:rsidRPr="00447176">
        <w:t>Como ninguno de los períodos por los cuales habían sido condenados Saquer, Clantex S.A. y Nayib Saquer alcanzaba ese nuevo monto, surgió el interrogante acerca de la aplicación retroactiva de la nueva ley.</w:t>
      </w:r>
    </w:p>
    <w:p w14:paraId="71606833" w14:textId="77777777" w:rsidR="00447176" w:rsidRPr="00447176" w:rsidRDefault="00447176" w:rsidP="00447176">
      <w:r w:rsidRPr="00447176">
        <w:t xml:space="preserve">La particularidad de este caso es importante: </w:t>
      </w:r>
      <w:r w:rsidRPr="00447176">
        <w:rPr>
          <w:b/>
          <w:bCs/>
        </w:rPr>
        <w:t>la sentencia condenatoria ya se encontraba firme</w:t>
      </w:r>
      <w:r w:rsidRPr="00447176">
        <w:t xml:space="preserve">, por lo cual no se trataba simplemente de aplicar una ley más benigna durante un proceso en trámite, sino de determinar si ésta podía remover los efectos de la </w:t>
      </w:r>
      <w:r w:rsidRPr="00447176">
        <w:rPr>
          <w:b/>
          <w:bCs/>
        </w:rPr>
        <w:t>cosa juzgada mediante un recurso de revisión</w:t>
      </w:r>
      <w:r w:rsidRPr="00447176">
        <w:t>.</w:t>
      </w:r>
    </w:p>
    <w:p w14:paraId="1A8A5EA5" w14:textId="77777777" w:rsidR="00447176" w:rsidRPr="00447176" w:rsidRDefault="00447176" w:rsidP="00447176">
      <w:pPr>
        <w:rPr>
          <w:b/>
          <w:bCs/>
        </w:rPr>
      </w:pPr>
      <w:r w:rsidRPr="00447176">
        <w:rPr>
          <w:b/>
          <w:bCs/>
        </w:rPr>
        <w:lastRenderedPageBreak/>
        <w:t>4. Postura de la defensa</w:t>
      </w:r>
    </w:p>
    <w:p w14:paraId="495DABFE" w14:textId="77777777" w:rsidR="00447176" w:rsidRPr="00447176" w:rsidRDefault="00447176" w:rsidP="00447176">
      <w:r w:rsidRPr="00447176">
        <w:t xml:space="preserve">La defensa particular de Valeria Laura Saquer interpuso </w:t>
      </w:r>
      <w:r w:rsidRPr="00447176">
        <w:rPr>
          <w:b/>
          <w:bCs/>
        </w:rPr>
        <w:t>recurso de revisión</w:t>
      </w:r>
      <w:r w:rsidRPr="00447176">
        <w:t xml:space="preserve"> con fundamento en el art. 479 inc. 5 CPPN.</w:t>
      </w:r>
    </w:p>
    <w:p w14:paraId="299C1720" w14:textId="77777777" w:rsidR="00447176" w:rsidRPr="00447176" w:rsidRDefault="00447176" w:rsidP="00447176">
      <w:r w:rsidRPr="00447176">
        <w:t xml:space="preserve">Su argumento central fue que la ley 27.799 había elevado a </w:t>
      </w:r>
      <w:r w:rsidRPr="00447176">
        <w:rPr>
          <w:b/>
          <w:bCs/>
        </w:rPr>
        <w:t>$3.500.000</w:t>
      </w:r>
      <w:r w:rsidRPr="00447176">
        <w:t xml:space="preserve"> la condición objetiva de punibilidad y que </w:t>
      </w:r>
      <w:r w:rsidRPr="00447176">
        <w:rPr>
          <w:b/>
          <w:bCs/>
        </w:rPr>
        <w:t>ninguno de los períodos mensuales imputados superaba el nuevo piso legal</w:t>
      </w:r>
      <w:r w:rsidRPr="00447176">
        <w:t>.</w:t>
      </w:r>
    </w:p>
    <w:p w14:paraId="642FF705" w14:textId="77777777" w:rsidR="00447176" w:rsidRPr="00447176" w:rsidRDefault="00447176" w:rsidP="00447176">
      <w:r w:rsidRPr="00447176">
        <w:t xml:space="preserve">En consecuencia, sostuvo que se había producido una </w:t>
      </w:r>
      <w:r w:rsidRPr="00447176">
        <w:rPr>
          <w:b/>
          <w:bCs/>
        </w:rPr>
        <w:t>“atipicidad sobreviniente”</w:t>
      </w:r>
      <w:r w:rsidRPr="00447176">
        <w:t xml:space="preserve"> y que las conductas habían quedado desincriminadas.</w:t>
      </w:r>
    </w:p>
    <w:p w14:paraId="1F247733" w14:textId="77777777" w:rsidR="00447176" w:rsidRPr="00447176" w:rsidRDefault="00447176" w:rsidP="00447176">
      <w:pPr>
        <w:rPr>
          <w:b/>
          <w:bCs/>
        </w:rPr>
      </w:pPr>
      <w:r w:rsidRPr="00447176">
        <w:rPr>
          <w:b/>
          <w:bCs/>
        </w:rPr>
        <w:t>Invocación del precedente “Vidal”</w:t>
      </w:r>
    </w:p>
    <w:p w14:paraId="54FDA715" w14:textId="77777777" w:rsidR="00447176" w:rsidRPr="00447176" w:rsidRDefault="00447176" w:rsidP="00447176">
      <w:r w:rsidRPr="00447176">
        <w:t xml:space="preserve">La defensa sostuvo que la cuestión relativa a la aplicación retroactiva de los nuevos umbrales de punibilidad había quedado definitivamente resuelta por la Corte Suprema en </w:t>
      </w:r>
      <w:r w:rsidRPr="00447176">
        <w:rPr>
          <w:b/>
          <w:bCs/>
        </w:rPr>
        <w:t>“Vidal, Matías Fernando Cristóbal y otros s/infracción ley 24.769”</w:t>
      </w:r>
      <w:r w:rsidRPr="00447176">
        <w:t>.</w:t>
      </w:r>
    </w:p>
    <w:p w14:paraId="21FFBC61" w14:textId="77777777" w:rsidR="00447176" w:rsidRPr="00447176" w:rsidRDefault="00447176" w:rsidP="00447176">
      <w:r w:rsidRPr="00447176">
        <w:t>Solicitó, por ello:</w:t>
      </w:r>
    </w:p>
    <w:p w14:paraId="6AEA905B" w14:textId="77777777" w:rsidR="00447176" w:rsidRPr="00447176" w:rsidRDefault="00447176" w:rsidP="00447176">
      <w:pPr>
        <w:numPr>
          <w:ilvl w:val="0"/>
          <w:numId w:val="8"/>
        </w:numPr>
      </w:pPr>
      <w:r w:rsidRPr="00447176">
        <w:t>la revisión de la sentencia condenatoria firme;</w:t>
      </w:r>
    </w:p>
    <w:p w14:paraId="43B0D8F6" w14:textId="77777777" w:rsidR="00447176" w:rsidRPr="00447176" w:rsidRDefault="00447176" w:rsidP="00447176">
      <w:pPr>
        <w:numPr>
          <w:ilvl w:val="0"/>
          <w:numId w:val="8"/>
        </w:numPr>
      </w:pPr>
      <w:r w:rsidRPr="00447176">
        <w:t>la aplicación retroactiva de la ley 27.799;</w:t>
      </w:r>
    </w:p>
    <w:p w14:paraId="72803067" w14:textId="77777777" w:rsidR="00447176" w:rsidRPr="00447176" w:rsidRDefault="00447176" w:rsidP="00447176">
      <w:pPr>
        <w:numPr>
          <w:ilvl w:val="0"/>
          <w:numId w:val="8"/>
        </w:numPr>
      </w:pPr>
      <w:r w:rsidRPr="00447176">
        <w:t>la absolución de Valeria Saquer;</w:t>
      </w:r>
    </w:p>
    <w:p w14:paraId="3ACDD3DB" w14:textId="77777777" w:rsidR="00447176" w:rsidRPr="00447176" w:rsidRDefault="00447176" w:rsidP="00447176">
      <w:pPr>
        <w:numPr>
          <w:ilvl w:val="0"/>
          <w:numId w:val="8"/>
        </w:numPr>
      </w:pPr>
      <w:r w:rsidRPr="00447176">
        <w:t>y, mientras se sustanciaba el planteo, la suspensión de la ejecución de la condena.</w:t>
      </w:r>
    </w:p>
    <w:p w14:paraId="05455CE4" w14:textId="77777777" w:rsidR="00447176" w:rsidRPr="00447176" w:rsidRDefault="00447176" w:rsidP="00447176">
      <w:pPr>
        <w:rPr>
          <w:b/>
          <w:bCs/>
        </w:rPr>
      </w:pPr>
      <w:r w:rsidRPr="00447176">
        <w:rPr>
          <w:b/>
          <w:bCs/>
        </w:rPr>
        <w:t>5. Postura del Ministerio Público Fiscal</w:t>
      </w:r>
    </w:p>
    <w:p w14:paraId="5109529F" w14:textId="77777777" w:rsidR="00447176" w:rsidRPr="00447176" w:rsidRDefault="00447176" w:rsidP="00447176">
      <w:r w:rsidRPr="00447176">
        <w:t xml:space="preserve">El Fiscal General ante Casación solicitó </w:t>
      </w:r>
      <w:r w:rsidRPr="00447176">
        <w:rPr>
          <w:b/>
          <w:bCs/>
        </w:rPr>
        <w:t>rechazar el recurso de revisión</w:t>
      </w:r>
      <w:r w:rsidRPr="00447176">
        <w:t>.</w:t>
      </w:r>
    </w:p>
    <w:p w14:paraId="6DB375A6" w14:textId="77777777" w:rsidR="00447176" w:rsidRPr="00447176" w:rsidRDefault="00447176" w:rsidP="00447176">
      <w:r w:rsidRPr="00447176">
        <w:t>Su posición presenta una diferencia significativa respecto de la defensa.</w:t>
      </w:r>
    </w:p>
    <w:p w14:paraId="18B563FB" w14:textId="77777777" w:rsidR="00447176" w:rsidRPr="00447176" w:rsidRDefault="00447176" w:rsidP="00447176">
      <w:r w:rsidRPr="00447176">
        <w:t xml:space="preserve">Según el Ministerio Público, el segundo párrafo del </w:t>
      </w:r>
      <w:r w:rsidRPr="00447176">
        <w:rPr>
          <w:b/>
          <w:bCs/>
        </w:rPr>
        <w:t>art. 2 CP</w:t>
      </w:r>
      <w:r w:rsidRPr="00447176">
        <w:t xml:space="preserve"> no establece una aplicación “automática e irrestricta” de cualquier ley posterior favorable cuando existe una sentencia firme.</w:t>
      </w:r>
    </w:p>
    <w:p w14:paraId="01C965A3" w14:textId="77777777" w:rsidR="00447176" w:rsidRPr="00447176" w:rsidRDefault="00447176" w:rsidP="00447176">
      <w:r w:rsidRPr="00447176">
        <w:t xml:space="preserve">A su entender, en esa etapa el principio de benignidad tendría efectos exclusivamente sobre el </w:t>
      </w:r>
      <w:r w:rsidRPr="00447176">
        <w:rPr>
          <w:b/>
          <w:bCs/>
        </w:rPr>
        <w:t>quantum de la pena</w:t>
      </w:r>
      <w:r w:rsidRPr="00447176">
        <w:t>, pero no permitiría eliminar la declaración de responsabilidad contenida en una sentencia pasada en autoridad de cosa juzgada.</w:t>
      </w:r>
    </w:p>
    <w:p w14:paraId="264CBC57" w14:textId="77777777" w:rsidR="00447176" w:rsidRPr="00447176" w:rsidRDefault="00447176" w:rsidP="00447176">
      <w:r w:rsidRPr="00447176">
        <w:t>El Fiscal sostuvo, concretamente, que el caso ya había quedado definitivamente regido por la normativa vigente al momento del hecho y al momento en que adquirió firmeza la sentencia.</w:t>
      </w:r>
    </w:p>
    <w:p w14:paraId="68E209D5" w14:textId="77777777" w:rsidR="00447176" w:rsidRPr="00447176" w:rsidRDefault="00447176" w:rsidP="00447176">
      <w:r w:rsidRPr="00447176">
        <w:t xml:space="preserve">Por ello afirmó que las modificaciones introducidas por la ley 27.799 </w:t>
      </w:r>
      <w:r w:rsidRPr="00447176">
        <w:rPr>
          <w:b/>
          <w:bCs/>
        </w:rPr>
        <w:t>no podían alterar la inmutabilidad de la cosa juzgada</w:t>
      </w:r>
      <w:r w:rsidRPr="00447176">
        <w:t>.</w:t>
      </w:r>
    </w:p>
    <w:p w14:paraId="42A01203" w14:textId="77777777" w:rsidR="00447176" w:rsidRPr="00447176" w:rsidRDefault="00447176" w:rsidP="00447176">
      <w:pPr>
        <w:rPr>
          <w:b/>
          <w:bCs/>
        </w:rPr>
      </w:pPr>
      <w:r w:rsidRPr="00447176">
        <w:rPr>
          <w:b/>
          <w:bCs/>
        </w:rPr>
        <w:t>Merituación de la postura fiscal</w:t>
      </w:r>
    </w:p>
    <w:p w14:paraId="11DFCA92" w14:textId="77777777" w:rsidR="00447176" w:rsidRPr="00447176" w:rsidRDefault="00447176" w:rsidP="00447176">
      <w:r w:rsidRPr="00447176">
        <w:t xml:space="preserve">La posición del Ministerio Público fue </w:t>
      </w:r>
      <w:r w:rsidRPr="00447176">
        <w:rPr>
          <w:b/>
          <w:bCs/>
        </w:rPr>
        <w:t>rechazada por los tres integrantes de la Sala</w:t>
      </w:r>
      <w:r w:rsidRPr="00447176">
        <w:t>.</w:t>
      </w:r>
    </w:p>
    <w:p w14:paraId="516AEF79" w14:textId="77777777" w:rsidR="00447176" w:rsidRPr="00447176" w:rsidRDefault="00447176" w:rsidP="00447176">
      <w:r w:rsidRPr="00447176">
        <w:t xml:space="preserve">La Cámara entendió que el principio de ley penal más benigna no queda neutralizado por la firmeza de la condena y que precisamente el </w:t>
      </w:r>
      <w:r w:rsidRPr="00447176">
        <w:rPr>
          <w:b/>
          <w:bCs/>
        </w:rPr>
        <w:t>recurso de revisión</w:t>
      </w:r>
      <w:r w:rsidRPr="00447176">
        <w:t xml:space="preserve"> constituye la vía excepcional prevista para remover la cosa juzgada cuando una modificación legislativa posterior beneficia al condenado.</w:t>
      </w:r>
    </w:p>
    <w:p w14:paraId="0E71C3C9" w14:textId="77777777" w:rsidR="00447176" w:rsidRPr="00447176" w:rsidRDefault="00447176" w:rsidP="00447176">
      <w:r w:rsidRPr="00447176">
        <w:lastRenderedPageBreak/>
        <w:t>Ledesma responde particularmente al planteo fiscal señalando que no existe razón jurídica para excluir del principio de retroactividad el supuesto contemplado por el segundo párrafo del art. 2 CP.</w:t>
      </w:r>
    </w:p>
    <w:p w14:paraId="3D70ACCB" w14:textId="77777777" w:rsidR="00447176" w:rsidRPr="00447176" w:rsidRDefault="00447176" w:rsidP="00447176">
      <w:pPr>
        <w:rPr>
          <w:b/>
          <w:bCs/>
        </w:rPr>
      </w:pPr>
      <w:r w:rsidRPr="00447176">
        <w:rPr>
          <w:b/>
          <w:bCs/>
        </w:rPr>
        <w:t>6. Querella</w:t>
      </w:r>
    </w:p>
    <w:p w14:paraId="26A1B91F" w14:textId="77777777" w:rsidR="00447176" w:rsidRPr="00447176" w:rsidRDefault="00447176" w:rsidP="00447176">
      <w:r w:rsidRPr="00447176">
        <w:rPr>
          <w:b/>
          <w:bCs/>
        </w:rPr>
        <w:t>No surge del fallo la intervención de una parte querellante en esta instancia.</w:t>
      </w:r>
    </w:p>
    <w:p w14:paraId="254797C8" w14:textId="77777777" w:rsidR="00447176" w:rsidRPr="00447176" w:rsidRDefault="00447176" w:rsidP="00447176">
      <w:r w:rsidRPr="00447176">
        <w:t>El encabezamiento únicamente individualiza al Fiscal General Raúl O. Pleé por el Ministerio Público Fiscal y al abogado Adrián R. Tellas como defensor particular de Saquer.</w:t>
      </w:r>
    </w:p>
    <w:p w14:paraId="46968C01" w14:textId="77777777" w:rsidR="00447176" w:rsidRPr="00447176" w:rsidRDefault="00447176" w:rsidP="00447176">
      <w:pPr>
        <w:rPr>
          <w:b/>
          <w:bCs/>
        </w:rPr>
      </w:pPr>
      <w:r w:rsidRPr="00447176">
        <w:rPr>
          <w:b/>
          <w:bCs/>
        </w:rPr>
        <w:t>7. Voto de Alejandro W. Slokar</w:t>
      </w:r>
    </w:p>
    <w:p w14:paraId="1885CC9F" w14:textId="77777777" w:rsidR="00447176" w:rsidRPr="00447176" w:rsidRDefault="00447176" w:rsidP="00447176">
      <w:r w:rsidRPr="00447176">
        <w:t xml:space="preserve">Slokar lidera el acuerdo y vota por </w:t>
      </w:r>
      <w:r w:rsidRPr="00447176">
        <w:rPr>
          <w:b/>
          <w:bCs/>
        </w:rPr>
        <w:t>hacer lugar al recurso de revisión y absolver a Valeria Saquer</w:t>
      </w:r>
      <w:r w:rsidRPr="00447176">
        <w:t>.</w:t>
      </w:r>
    </w:p>
    <w:p w14:paraId="6007A376" w14:textId="77777777" w:rsidR="00447176" w:rsidRPr="00447176" w:rsidRDefault="00447176" w:rsidP="00447176">
      <w:r w:rsidRPr="00447176">
        <w:t xml:space="preserve">Su voto contiene, sin embargo, una particularidad: formula una </w:t>
      </w:r>
      <w:r w:rsidRPr="00447176">
        <w:rPr>
          <w:b/>
          <w:bCs/>
        </w:rPr>
        <w:t>crítica expresa a la orientación de política criminal adoptada por la reforma</w:t>
      </w:r>
      <w:r w:rsidRPr="00447176">
        <w:t>, pero considera que jurídicamente está obligado a aplicarla.</w:t>
      </w:r>
    </w:p>
    <w:p w14:paraId="2016CC72" w14:textId="77777777" w:rsidR="00447176" w:rsidRPr="00447176" w:rsidRDefault="00447176" w:rsidP="00447176">
      <w:pPr>
        <w:rPr>
          <w:b/>
          <w:bCs/>
        </w:rPr>
      </w:pPr>
      <w:r w:rsidRPr="00447176">
        <w:rPr>
          <w:b/>
          <w:bCs/>
        </w:rPr>
        <w:t>a. Crítica a la reforma</w:t>
      </w:r>
    </w:p>
    <w:p w14:paraId="25ADFE71" w14:textId="77777777" w:rsidR="00447176" w:rsidRPr="00447176" w:rsidRDefault="00447176" w:rsidP="00447176">
      <w:r w:rsidRPr="00447176">
        <w:t xml:space="preserve">Slokar cuestiona las que denomina </w:t>
      </w:r>
      <w:r w:rsidRPr="00447176">
        <w:rPr>
          <w:b/>
          <w:bCs/>
        </w:rPr>
        <w:t>“prebendas” otorgadas a favor de los delitos que atentan directamente contra las arcas públicas</w:t>
      </w:r>
      <w:r w:rsidRPr="00447176">
        <w:t xml:space="preserve"> y considera que existe una política fiscal inequitativa que contraviene principios constitucionales de igualdad, solidaridad, proporcionalidad y progresividad.</w:t>
      </w:r>
    </w:p>
    <w:p w14:paraId="1F070467" w14:textId="77777777" w:rsidR="00447176" w:rsidRPr="00447176" w:rsidRDefault="00447176" w:rsidP="00447176">
      <w:r w:rsidRPr="00447176">
        <w:t>Sin embargo, inmediatamente aclara que, pese a esas consideraciones, el recurso debe prosperar.</w:t>
      </w:r>
    </w:p>
    <w:p w14:paraId="6B40A49A" w14:textId="77777777" w:rsidR="00447176" w:rsidRPr="00447176" w:rsidRDefault="00447176" w:rsidP="00447176">
      <w:r w:rsidRPr="00447176">
        <w:t xml:space="preserve">Es decir, </w:t>
      </w:r>
      <w:r w:rsidRPr="00447176">
        <w:rPr>
          <w:b/>
          <w:bCs/>
        </w:rPr>
        <w:t>distingue su valoración crítica de la reforma de la solución jurídicamente exigible</w:t>
      </w:r>
      <w:r w:rsidRPr="00447176">
        <w:t>.</w:t>
      </w:r>
    </w:p>
    <w:p w14:paraId="29F7A933" w14:textId="77777777" w:rsidR="00447176" w:rsidRPr="00447176" w:rsidRDefault="00447176" w:rsidP="00447176">
      <w:pPr>
        <w:rPr>
          <w:b/>
          <w:bCs/>
        </w:rPr>
      </w:pPr>
      <w:r w:rsidRPr="00447176">
        <w:rPr>
          <w:b/>
          <w:bCs/>
        </w:rPr>
        <w:t>b. Deber de acatamiento de la jurisprudencia de la Corte Suprema</w:t>
      </w:r>
    </w:p>
    <w:p w14:paraId="1D22C9BE" w14:textId="77777777" w:rsidR="00447176" w:rsidRPr="00447176" w:rsidRDefault="00447176" w:rsidP="00447176">
      <w:r w:rsidRPr="00447176">
        <w:t xml:space="preserve">Slokar considera decisiva la doctrina de la CSJN en </w:t>
      </w:r>
      <w:r w:rsidRPr="00447176">
        <w:rPr>
          <w:b/>
          <w:bCs/>
        </w:rPr>
        <w:t>“Palero”</w:t>
      </w:r>
      <w:r w:rsidRPr="00447176">
        <w:t xml:space="preserve"> y fundamentalmente </w:t>
      </w:r>
      <w:r w:rsidRPr="00447176">
        <w:rPr>
          <w:b/>
          <w:bCs/>
        </w:rPr>
        <w:t>“Vidal”</w:t>
      </w:r>
      <w:r w:rsidRPr="00447176">
        <w:t>.</w:t>
      </w:r>
    </w:p>
    <w:p w14:paraId="5AA24B0C" w14:textId="77777777" w:rsidR="00447176" w:rsidRPr="00447176" w:rsidRDefault="00447176" w:rsidP="00447176">
      <w:r w:rsidRPr="00447176">
        <w:t xml:space="preserve">Según esos precedentes, las modificaciones legislativas de los montos mínimos de punibilidad determinan, por aplicación de la ley penal más benigna, la </w:t>
      </w:r>
      <w:r w:rsidRPr="00447176">
        <w:rPr>
          <w:b/>
          <w:bCs/>
        </w:rPr>
        <w:t>desincriminación de las conductas que no alcanzan los nuevos umbrales</w:t>
      </w:r>
      <w:r w:rsidRPr="00447176">
        <w:t>.</w:t>
      </w:r>
    </w:p>
    <w:p w14:paraId="1F260113" w14:textId="77777777" w:rsidR="00447176" w:rsidRPr="00447176" w:rsidRDefault="00447176" w:rsidP="00447176">
      <w:r w:rsidRPr="00447176">
        <w:t>El juez entiende que debe acatar esa doctrina en razón del carácter de la Corte Suprema como intérprete final de la Constitución y las leyes federales.</w:t>
      </w:r>
    </w:p>
    <w:p w14:paraId="1003F718" w14:textId="77777777" w:rsidR="00447176" w:rsidRPr="00447176" w:rsidRDefault="00447176" w:rsidP="00447176">
      <w:pPr>
        <w:rPr>
          <w:b/>
          <w:bCs/>
        </w:rPr>
      </w:pPr>
      <w:r w:rsidRPr="00447176">
        <w:rPr>
          <w:b/>
          <w:bCs/>
        </w:rPr>
        <w:t>c. Jurisprudencia de Casación posterior a la ley 27.799</w:t>
      </w:r>
    </w:p>
    <w:p w14:paraId="032B083F" w14:textId="77777777" w:rsidR="00447176" w:rsidRPr="00447176" w:rsidRDefault="00447176" w:rsidP="00447176">
      <w:r w:rsidRPr="00447176">
        <w:t>Slokar señala, además, que distintas salas de la Cámara Federal de Casación Penal ya habían aplicado la ley 27.799 retroactivamente en precedentes como:</w:t>
      </w:r>
    </w:p>
    <w:p w14:paraId="24E81907" w14:textId="77777777" w:rsidR="00447176" w:rsidRPr="00447176" w:rsidRDefault="00447176" w:rsidP="00447176">
      <w:r w:rsidRPr="00447176">
        <w:rPr>
          <w:b/>
          <w:bCs/>
        </w:rPr>
        <w:t>“Aybar Ortega”</w:t>
      </w:r>
      <w:r w:rsidRPr="00447176">
        <w:t xml:space="preserve">, </w:t>
      </w:r>
      <w:r w:rsidRPr="00447176">
        <w:rPr>
          <w:b/>
          <w:bCs/>
        </w:rPr>
        <w:t>“Donaire”</w:t>
      </w:r>
      <w:r w:rsidRPr="00447176">
        <w:t xml:space="preserve">, </w:t>
      </w:r>
      <w:r w:rsidRPr="00447176">
        <w:rPr>
          <w:b/>
          <w:bCs/>
        </w:rPr>
        <w:t>“Pitalivo”</w:t>
      </w:r>
      <w:r w:rsidRPr="00447176">
        <w:t xml:space="preserve">, </w:t>
      </w:r>
      <w:r w:rsidRPr="00447176">
        <w:rPr>
          <w:b/>
          <w:bCs/>
        </w:rPr>
        <w:t>“Domínguez”</w:t>
      </w:r>
      <w:r w:rsidRPr="00447176">
        <w:t xml:space="preserve"> y </w:t>
      </w:r>
      <w:r w:rsidRPr="00447176">
        <w:rPr>
          <w:b/>
          <w:bCs/>
        </w:rPr>
        <w:t>“Ponte”</w:t>
      </w:r>
      <w:r w:rsidRPr="00447176">
        <w:t>.</w:t>
      </w:r>
    </w:p>
    <w:p w14:paraId="7714E79A" w14:textId="77777777" w:rsidR="00447176" w:rsidRPr="00447176" w:rsidRDefault="00447176" w:rsidP="00447176">
      <w:pPr>
        <w:rPr>
          <w:b/>
          <w:bCs/>
        </w:rPr>
      </w:pPr>
      <w:r w:rsidRPr="00447176">
        <w:rPr>
          <w:b/>
          <w:bCs/>
        </w:rPr>
        <w:t>d. Efecto extensivo</w:t>
      </w:r>
    </w:p>
    <w:p w14:paraId="7805E96A" w14:textId="77777777" w:rsidR="00447176" w:rsidRPr="00447176" w:rsidRDefault="00447176" w:rsidP="00447176">
      <w:r w:rsidRPr="00447176">
        <w:t xml:space="preserve">Finalmente, considera que la solución debe extenderse no sólo a Valeria Saquer —única recurrente— sino también a </w:t>
      </w:r>
      <w:r w:rsidRPr="00447176">
        <w:rPr>
          <w:b/>
          <w:bCs/>
        </w:rPr>
        <w:t>Nayib Saquer y Clantex S.A.</w:t>
      </w:r>
      <w:r w:rsidRPr="00447176">
        <w:t>, conforme al art. 441 CPPN.</w:t>
      </w:r>
    </w:p>
    <w:p w14:paraId="15D88C0F" w14:textId="77777777" w:rsidR="00447176" w:rsidRPr="00447176" w:rsidRDefault="00447176" w:rsidP="00447176">
      <w:r w:rsidRPr="00447176">
        <w:t>Propone entonces absolver a los tres respecto del delito de apropiación indebida de recursos de la seguridad social.</w:t>
      </w:r>
    </w:p>
    <w:p w14:paraId="2F81DB5D" w14:textId="77777777" w:rsidR="00447176" w:rsidRPr="00447176" w:rsidRDefault="00447176" w:rsidP="00447176">
      <w:pPr>
        <w:rPr>
          <w:b/>
          <w:bCs/>
        </w:rPr>
      </w:pPr>
      <w:r w:rsidRPr="00447176">
        <w:rPr>
          <w:b/>
          <w:bCs/>
        </w:rPr>
        <w:lastRenderedPageBreak/>
        <w:t>8. Voto de Ángela E. Ledesma</w:t>
      </w:r>
    </w:p>
    <w:p w14:paraId="23C9564E" w14:textId="77777777" w:rsidR="00447176" w:rsidRPr="00447176" w:rsidRDefault="00447176" w:rsidP="00447176">
      <w:r w:rsidRPr="00447176">
        <w:t xml:space="preserve">Ledesma </w:t>
      </w:r>
      <w:r w:rsidRPr="00447176">
        <w:rPr>
          <w:b/>
          <w:bCs/>
        </w:rPr>
        <w:t>adhiere a la solución de Slokar</w:t>
      </w:r>
      <w:r w:rsidRPr="00447176">
        <w:t>, pero agrega fundamentos propios.</w:t>
      </w:r>
    </w:p>
    <w:p w14:paraId="7E00A7CD" w14:textId="77777777" w:rsidR="00447176" w:rsidRPr="00447176" w:rsidRDefault="00447176" w:rsidP="00447176">
      <w:pPr>
        <w:rPr>
          <w:b/>
          <w:bCs/>
        </w:rPr>
      </w:pPr>
      <w:r w:rsidRPr="00447176">
        <w:rPr>
          <w:b/>
          <w:bCs/>
        </w:rPr>
        <w:t>a. Procedencia del recurso de revisión</w:t>
      </w:r>
    </w:p>
    <w:p w14:paraId="7A326FE3" w14:textId="77777777" w:rsidR="00447176" w:rsidRPr="00447176" w:rsidRDefault="00447176" w:rsidP="00447176">
      <w:r w:rsidRPr="00447176">
        <w:t xml:space="preserve">Destaca que el art. 366 CPPF permite el recurso de revisión </w:t>
      </w:r>
      <w:r w:rsidRPr="00447176">
        <w:rPr>
          <w:b/>
          <w:bCs/>
        </w:rPr>
        <w:t>en todo tiempo y exclusivamente a favor del condenado contra sentencias firmes</w:t>
      </w:r>
      <w:r w:rsidRPr="00447176">
        <w:t>.</w:t>
      </w:r>
    </w:p>
    <w:p w14:paraId="7BFB4096" w14:textId="77777777" w:rsidR="00447176" w:rsidRPr="00447176" w:rsidRDefault="00447176" w:rsidP="00447176">
      <w:r w:rsidRPr="00447176">
        <w:t xml:space="preserve">En particular, su inciso e) contempla precisamente el supuesto en que corresponde aplicar retroactivamente una </w:t>
      </w:r>
      <w:r w:rsidRPr="00447176">
        <w:rPr>
          <w:b/>
          <w:bCs/>
        </w:rPr>
        <w:t>modificación legislativa más favorable</w:t>
      </w:r>
      <w:r w:rsidRPr="00447176">
        <w:t>.</w:t>
      </w:r>
    </w:p>
    <w:p w14:paraId="70E9B4B3" w14:textId="77777777" w:rsidR="00447176" w:rsidRPr="00447176" w:rsidRDefault="00447176" w:rsidP="00447176">
      <w:r w:rsidRPr="00447176">
        <w:t>Por ello considera que el recurso utilizado por la defensa es procesalmente idóneo.</w:t>
      </w:r>
    </w:p>
    <w:p w14:paraId="50C61AC2" w14:textId="77777777" w:rsidR="00447176" w:rsidRPr="00447176" w:rsidRDefault="00447176" w:rsidP="00447176">
      <w:pPr>
        <w:rPr>
          <w:b/>
          <w:bCs/>
        </w:rPr>
      </w:pPr>
      <w:r w:rsidRPr="00447176">
        <w:rPr>
          <w:b/>
          <w:bCs/>
        </w:rPr>
        <w:t>b. Función garantizadora de la ley penal más benigna</w:t>
      </w:r>
    </w:p>
    <w:p w14:paraId="5AFD5553" w14:textId="77777777" w:rsidR="00447176" w:rsidRPr="00447176" w:rsidRDefault="00447176" w:rsidP="00447176">
      <w:r w:rsidRPr="00447176">
        <w:t>Ledesma desarrolla una concepción garantista del Derecho Penal.</w:t>
      </w:r>
    </w:p>
    <w:p w14:paraId="43BF2A9E" w14:textId="77777777" w:rsidR="00447176" w:rsidRPr="00447176" w:rsidRDefault="00447176" w:rsidP="00447176">
      <w:r w:rsidRPr="00447176">
        <w:t xml:space="preserve">Los principios penales —entre ellos, la retroactividad de la ley más benigna— son </w:t>
      </w:r>
      <w:r w:rsidRPr="00447176">
        <w:rPr>
          <w:b/>
          <w:bCs/>
        </w:rPr>
        <w:t>límites jurídicos al poder punitivo estatal</w:t>
      </w:r>
      <w:r w:rsidRPr="00447176">
        <w:t xml:space="preserve"> y deben interpretarse conforme a los postulados de </w:t>
      </w:r>
      <w:r w:rsidRPr="00447176">
        <w:rPr>
          <w:b/>
          <w:bCs/>
        </w:rPr>
        <w:t>mínima intervención y ultima ratio</w:t>
      </w:r>
      <w:r w:rsidRPr="00447176">
        <w:t>.</w:t>
      </w:r>
    </w:p>
    <w:p w14:paraId="17D2C498" w14:textId="77777777" w:rsidR="00447176" w:rsidRPr="00447176" w:rsidRDefault="00447176" w:rsidP="00447176">
      <w:pPr>
        <w:rPr>
          <w:b/>
          <w:bCs/>
        </w:rPr>
      </w:pPr>
      <w:r w:rsidRPr="00447176">
        <w:rPr>
          <w:b/>
          <w:bCs/>
        </w:rPr>
        <w:t>c. Ley 27.799 como ley penal más benigna</w:t>
      </w:r>
    </w:p>
    <w:p w14:paraId="0BCCC2DB" w14:textId="77777777" w:rsidR="00447176" w:rsidRPr="00447176" w:rsidRDefault="00447176" w:rsidP="00447176">
      <w:r w:rsidRPr="00447176">
        <w:t xml:space="preserve">Para Ledesma, la reforma modificó un </w:t>
      </w:r>
      <w:r w:rsidRPr="00447176">
        <w:rPr>
          <w:b/>
          <w:bCs/>
        </w:rPr>
        <w:t>elemento objetivo de punibilidad</w:t>
      </w:r>
      <w:r w:rsidRPr="00447176">
        <w:t>.</w:t>
      </w:r>
    </w:p>
    <w:p w14:paraId="495BF18C" w14:textId="77777777" w:rsidR="00447176" w:rsidRPr="00447176" w:rsidRDefault="00447176" w:rsidP="00447176">
      <w:r w:rsidRPr="00447176">
        <w:t xml:space="preserve">Al elevar el umbral a $3.500.000 y encontrarse todos los períodos atribuidos por debajo de esa suma, las conductas </w:t>
      </w:r>
      <w:r w:rsidRPr="00447176">
        <w:rPr>
          <w:b/>
          <w:bCs/>
        </w:rPr>
        <w:t>“ya no configuran delito”</w:t>
      </w:r>
      <w:r w:rsidRPr="00447176">
        <w:t>.</w:t>
      </w:r>
    </w:p>
    <w:p w14:paraId="674E6538" w14:textId="77777777" w:rsidR="00447176" w:rsidRPr="00447176" w:rsidRDefault="00447176" w:rsidP="00447176">
      <w:r w:rsidRPr="00447176">
        <w:t>Por ello resultan aplicables el art. 2 CP, el art. 9 CADH y el art. 15.1 PIDCP.</w:t>
      </w:r>
    </w:p>
    <w:p w14:paraId="458DFB9F" w14:textId="77777777" w:rsidR="00447176" w:rsidRPr="00447176" w:rsidRDefault="00447176" w:rsidP="00447176">
      <w:pPr>
        <w:rPr>
          <w:b/>
          <w:bCs/>
        </w:rPr>
      </w:pPr>
      <w:r w:rsidRPr="00447176">
        <w:rPr>
          <w:b/>
          <w:bCs/>
        </w:rPr>
        <w:t>d. Rechazo específico de la tesis fiscal sobre la cosa juzgada</w:t>
      </w:r>
    </w:p>
    <w:p w14:paraId="72FADA46" w14:textId="77777777" w:rsidR="00447176" w:rsidRPr="00447176" w:rsidRDefault="00447176" w:rsidP="00447176">
      <w:r w:rsidRPr="00447176">
        <w:t>Ledesma responde expresamente al Ministerio Público.</w:t>
      </w:r>
    </w:p>
    <w:p w14:paraId="1C94B5A1" w14:textId="77777777" w:rsidR="00447176" w:rsidRPr="00447176" w:rsidRDefault="00447176" w:rsidP="00447176">
      <w:r w:rsidRPr="00447176">
        <w:t xml:space="preserve">Aun tratándose de una condena firme comprendida en el segundo párrafo del art. 2 CP, </w:t>
      </w:r>
      <w:r w:rsidRPr="00447176">
        <w:rPr>
          <w:b/>
          <w:bCs/>
        </w:rPr>
        <w:t>no existe fundamento jurídico para excluir la aplicación de la ley penal más benigna</w:t>
      </w:r>
      <w:r w:rsidRPr="00447176">
        <w:t>.</w:t>
      </w:r>
    </w:p>
    <w:p w14:paraId="1008A141" w14:textId="77777777" w:rsidR="00447176" w:rsidRPr="00447176" w:rsidRDefault="00447176" w:rsidP="00447176">
      <w:r w:rsidRPr="00447176">
        <w:t>Precisamente para estos casos existe el recurso excepcional de revisión.</w:t>
      </w:r>
    </w:p>
    <w:p w14:paraId="361F0432" w14:textId="77777777" w:rsidR="00447176" w:rsidRPr="00447176" w:rsidRDefault="00447176" w:rsidP="00447176">
      <w:r w:rsidRPr="00447176">
        <w:t>Por ello adhiere a la absolución de Valeria Saquer y, por efecto extensivo, de Clantex S.A. y Nayib Saquer.</w:t>
      </w:r>
    </w:p>
    <w:p w14:paraId="5EF0B3E0" w14:textId="77777777" w:rsidR="00447176" w:rsidRPr="00447176" w:rsidRDefault="00447176" w:rsidP="00447176">
      <w:pPr>
        <w:rPr>
          <w:b/>
          <w:bCs/>
        </w:rPr>
      </w:pPr>
      <w:r w:rsidRPr="00447176">
        <w:rPr>
          <w:b/>
          <w:bCs/>
        </w:rPr>
        <w:t>9. Voto de Guillermo J. Yacobucci</w:t>
      </w:r>
    </w:p>
    <w:p w14:paraId="53317DAD" w14:textId="77777777" w:rsidR="00447176" w:rsidRPr="00447176" w:rsidRDefault="00447176" w:rsidP="00447176">
      <w:r w:rsidRPr="00447176">
        <w:t xml:space="preserve">Yacobucci también </w:t>
      </w:r>
      <w:r w:rsidRPr="00447176">
        <w:rPr>
          <w:b/>
          <w:bCs/>
        </w:rPr>
        <w:t>adhiere a la solución de Slokar</w:t>
      </w:r>
      <w:r w:rsidRPr="00447176">
        <w:t xml:space="preserve">, pero formula un desarrollo dogmático particularmente relevante sobre la naturaleza de las </w:t>
      </w:r>
      <w:r w:rsidRPr="00447176">
        <w:rPr>
          <w:b/>
          <w:bCs/>
        </w:rPr>
        <w:t>condiciones objetivas de punibilidad</w:t>
      </w:r>
      <w:r w:rsidRPr="00447176">
        <w:t>.</w:t>
      </w:r>
    </w:p>
    <w:p w14:paraId="2CAF45DE" w14:textId="77777777" w:rsidR="00447176" w:rsidRPr="00447176" w:rsidRDefault="00447176" w:rsidP="00447176">
      <w:pPr>
        <w:rPr>
          <w:b/>
          <w:bCs/>
        </w:rPr>
      </w:pPr>
      <w:r w:rsidRPr="00447176">
        <w:rPr>
          <w:b/>
          <w:bCs/>
        </w:rPr>
        <w:t>a. La ley 27.799 es más benigna</w:t>
      </w:r>
    </w:p>
    <w:p w14:paraId="5B181E54" w14:textId="77777777" w:rsidR="00447176" w:rsidRPr="00447176" w:rsidRDefault="00447176" w:rsidP="00447176">
      <w:r w:rsidRPr="00447176">
        <w:t xml:space="preserve">Para Yacobucci, la ley 27.799, al elevar sustancialmente los umbrales, resulta indiscutiblemente </w:t>
      </w:r>
      <w:r w:rsidRPr="00447176">
        <w:rPr>
          <w:b/>
          <w:bCs/>
        </w:rPr>
        <w:t>más favorable que las leyes 24.769 y 27.430</w:t>
      </w:r>
      <w:r w:rsidRPr="00447176">
        <w:t xml:space="preserve"> que regían cuando ocurrieron los hechos.</w:t>
      </w:r>
    </w:p>
    <w:p w14:paraId="47505DB3" w14:textId="77777777" w:rsidR="00447176" w:rsidRPr="00447176" w:rsidRDefault="00447176" w:rsidP="00447176">
      <w:r w:rsidRPr="00447176">
        <w:t xml:space="preserve">Como los montos correspondientes a cada período están por debajo de $3.500.000, las conductas </w:t>
      </w:r>
      <w:r w:rsidRPr="00447176">
        <w:rPr>
          <w:b/>
          <w:bCs/>
        </w:rPr>
        <w:t>ya no configuran el delito imputado</w:t>
      </w:r>
      <w:r w:rsidRPr="00447176">
        <w:t>.</w:t>
      </w:r>
    </w:p>
    <w:p w14:paraId="7127660E" w14:textId="77777777" w:rsidR="00447176" w:rsidRPr="00447176" w:rsidRDefault="00447176" w:rsidP="00447176">
      <w:pPr>
        <w:rPr>
          <w:b/>
          <w:bCs/>
        </w:rPr>
      </w:pPr>
      <w:r w:rsidRPr="00447176">
        <w:rPr>
          <w:b/>
          <w:bCs/>
        </w:rPr>
        <w:t>b. La modificación de una condición objetiva de punibilidad activa el art. 2 CP</w:t>
      </w:r>
    </w:p>
    <w:p w14:paraId="0F83129C" w14:textId="77777777" w:rsidR="00447176" w:rsidRPr="00447176" w:rsidRDefault="00447176" w:rsidP="00447176">
      <w:r w:rsidRPr="00447176">
        <w:lastRenderedPageBreak/>
        <w:t>Este es el núcleo de su voto.</w:t>
      </w:r>
    </w:p>
    <w:p w14:paraId="326DB753" w14:textId="77777777" w:rsidR="00447176" w:rsidRPr="00447176" w:rsidRDefault="00447176" w:rsidP="00447176">
      <w:r w:rsidRPr="00447176">
        <w:t>Yacobucci sostiene que la retroactividad favorable no opera exclusivamente cuando cambia la descripción de la conducta típica o la pena.</w:t>
      </w:r>
    </w:p>
    <w:p w14:paraId="361EBE06" w14:textId="77777777" w:rsidR="00447176" w:rsidRPr="00447176" w:rsidRDefault="00447176" w:rsidP="00447176">
      <w:r w:rsidRPr="00447176">
        <w:t xml:space="preserve">También opera cuando se modifican </w:t>
      </w:r>
      <w:r w:rsidRPr="00447176">
        <w:rPr>
          <w:b/>
          <w:bCs/>
        </w:rPr>
        <w:t>elementos que conforman el hecho punible</w:t>
      </w:r>
      <w:r w:rsidRPr="00447176">
        <w:t>, como ocurre con una condición objetiva de punibilidad.</w:t>
      </w:r>
    </w:p>
    <w:p w14:paraId="546CC1F9" w14:textId="77777777" w:rsidR="00447176" w:rsidRPr="00447176" w:rsidRDefault="00447176" w:rsidP="00447176">
      <w:r w:rsidRPr="00447176">
        <w:t xml:space="preserve">El monto mínimo constituye el </w:t>
      </w:r>
      <w:r w:rsidRPr="00447176">
        <w:rPr>
          <w:b/>
          <w:bCs/>
        </w:rPr>
        <w:t>límite a partir del cual una conducta adquiere relevancia penal</w:t>
      </w:r>
      <w:r w:rsidRPr="00447176">
        <w:t>. Si el legislador eleva ese límite, las conductas que quedan por debajo dejan de ser penalmente reprochables.</w:t>
      </w:r>
    </w:p>
    <w:p w14:paraId="6B5A4678" w14:textId="77777777" w:rsidR="00447176" w:rsidRPr="00447176" w:rsidRDefault="00447176" w:rsidP="00447176">
      <w:pPr>
        <w:rPr>
          <w:b/>
          <w:bCs/>
        </w:rPr>
      </w:pPr>
      <w:r w:rsidRPr="00447176">
        <w:rPr>
          <w:b/>
          <w:bCs/>
        </w:rPr>
        <w:t>c. Condiciones objetivas de punibilidad y “tipo garantía”</w:t>
      </w:r>
    </w:p>
    <w:p w14:paraId="014E61B5" w14:textId="77777777" w:rsidR="00447176" w:rsidRPr="00447176" w:rsidRDefault="00447176" w:rsidP="00447176">
      <w:r w:rsidRPr="00447176">
        <w:t>Yacobucci profundiza todavía más el argumento.</w:t>
      </w:r>
    </w:p>
    <w:p w14:paraId="370716D3" w14:textId="77777777" w:rsidR="00447176" w:rsidRPr="00447176" w:rsidRDefault="00447176" w:rsidP="00447176">
      <w:r w:rsidRPr="00447176">
        <w:t xml:space="preserve">Reconoce que las condiciones objetivas de punibilidad </w:t>
      </w:r>
      <w:r w:rsidRPr="00447176">
        <w:rPr>
          <w:b/>
          <w:bCs/>
        </w:rPr>
        <w:t>no necesitan ser alcanzadas por el dolo</w:t>
      </w:r>
      <w:r w:rsidRPr="00447176">
        <w:t xml:space="preserve"> y que tradicionalmente se las ubica fuera del tipo subjetivo.</w:t>
      </w:r>
    </w:p>
    <w:p w14:paraId="26036DBA" w14:textId="77777777" w:rsidR="00447176" w:rsidRPr="00447176" w:rsidRDefault="00447176" w:rsidP="00447176">
      <w:r w:rsidRPr="00447176">
        <w:t xml:space="preserve">Sin embargo, considera que integran el denominado </w:t>
      </w:r>
      <w:r w:rsidRPr="00447176">
        <w:rPr>
          <w:b/>
          <w:bCs/>
        </w:rPr>
        <w:t>“tipo garantía”</w:t>
      </w:r>
      <w:r w:rsidRPr="00447176">
        <w:t>, porque forman parte de los elementos legales que delimitan la posibilidad de imputar responsabilidad penal.</w:t>
      </w:r>
    </w:p>
    <w:p w14:paraId="6C954C0A" w14:textId="77777777" w:rsidR="00447176" w:rsidRPr="00447176" w:rsidRDefault="00447176" w:rsidP="00447176">
      <w:r w:rsidRPr="00447176">
        <w:t xml:space="preserve">Cuando el legislador modifica esas condiciones, altera el </w:t>
      </w:r>
      <w:r w:rsidRPr="00447176">
        <w:rPr>
          <w:b/>
          <w:bCs/>
        </w:rPr>
        <w:t>estándar de identificación de la antijuridicidad penal</w:t>
      </w:r>
      <w:r w:rsidRPr="00447176">
        <w:t xml:space="preserve"> y, por ello, modifica la propia delimitación de los comportamientos merecedores de pena.</w:t>
      </w:r>
    </w:p>
    <w:p w14:paraId="369302CF" w14:textId="77777777" w:rsidR="00447176" w:rsidRPr="00447176" w:rsidRDefault="00447176" w:rsidP="00447176">
      <w:r w:rsidRPr="00447176">
        <w:t xml:space="preserve">En palabras conceptuales del voto, la reforma </w:t>
      </w:r>
      <w:r w:rsidRPr="00447176">
        <w:rPr>
          <w:b/>
          <w:bCs/>
        </w:rPr>
        <w:t>despenaliza un conjunto de comportamientos anteriormente penalmente significativos</w:t>
      </w:r>
      <w:r w:rsidRPr="00447176">
        <w:t>.</w:t>
      </w:r>
    </w:p>
    <w:p w14:paraId="40DF9DAF" w14:textId="77777777" w:rsidR="00447176" w:rsidRPr="00447176" w:rsidRDefault="00447176" w:rsidP="00447176">
      <w:r w:rsidRPr="00447176">
        <w:t xml:space="preserve">Por eso, aunque dogmáticamente pueda afirmarse que las condiciones objetivas de punibilidad se analizan en un estadio posterior a la tipicidad, ellas integran el tipo en su </w:t>
      </w:r>
      <w:r w:rsidRPr="00447176">
        <w:rPr>
          <w:b/>
          <w:bCs/>
        </w:rPr>
        <w:t>función de garantía</w:t>
      </w:r>
      <w:r w:rsidRPr="00447176">
        <w:t xml:space="preserve"> y quedan plenamente comprendidas en el principio de ley penal más benigna.</w:t>
      </w:r>
    </w:p>
    <w:p w14:paraId="5DB11E49" w14:textId="77777777" w:rsidR="00447176" w:rsidRPr="00447176" w:rsidRDefault="00447176" w:rsidP="00447176">
      <w:pPr>
        <w:rPr>
          <w:b/>
          <w:bCs/>
        </w:rPr>
      </w:pPr>
      <w:r w:rsidRPr="00447176">
        <w:rPr>
          <w:b/>
          <w:bCs/>
        </w:rPr>
        <w:t>10. Resolución de la causa</w:t>
      </w:r>
    </w:p>
    <w:p w14:paraId="6EE3BCF2" w14:textId="77777777" w:rsidR="00447176" w:rsidRPr="00447176" w:rsidRDefault="00447176" w:rsidP="00447176">
      <w:r w:rsidRPr="00447176">
        <w:t xml:space="preserve">La decisión fue </w:t>
      </w:r>
      <w:r w:rsidRPr="00447176">
        <w:rPr>
          <w:b/>
          <w:bCs/>
        </w:rPr>
        <w:t>unánime</w:t>
      </w:r>
      <w:r w:rsidRPr="00447176">
        <w:t>.</w:t>
      </w:r>
    </w:p>
    <w:p w14:paraId="31D4755E" w14:textId="77777777" w:rsidR="00447176" w:rsidRPr="00447176" w:rsidRDefault="00447176" w:rsidP="00447176">
      <w:r w:rsidRPr="00447176">
        <w:t>La Sala II resolvió:</w:t>
      </w:r>
    </w:p>
    <w:p w14:paraId="3EA76EE4" w14:textId="77777777" w:rsidR="00447176" w:rsidRPr="00447176" w:rsidRDefault="00447176" w:rsidP="00447176">
      <w:r w:rsidRPr="00447176">
        <w:rPr>
          <w:b/>
          <w:bCs/>
        </w:rPr>
        <w:t>1. Hacer lugar, sin costas, al recurso de revisión interpuesto por la defensa particular de Valeria Laura Saquer.</w:t>
      </w:r>
    </w:p>
    <w:p w14:paraId="3855EF34" w14:textId="77777777" w:rsidR="00447176" w:rsidRPr="00447176" w:rsidRDefault="00447176" w:rsidP="00447176">
      <w:r w:rsidRPr="00447176">
        <w:rPr>
          <w:b/>
          <w:bCs/>
        </w:rPr>
        <w:t>2. Absolver a Valeria Laura Saquer respecto del delito de apropiación indebida de recursos de la seguridad social.</w:t>
      </w:r>
    </w:p>
    <w:p w14:paraId="53C67794" w14:textId="77777777" w:rsidR="00447176" w:rsidRPr="00447176" w:rsidRDefault="00447176" w:rsidP="00447176">
      <w:r w:rsidRPr="00447176">
        <w:rPr>
          <w:b/>
          <w:bCs/>
        </w:rPr>
        <w:t>3. Extender los efectos favorables de la decisión y absolver también a Clantex S.A. y Nayib Saquer respecto del mismo delito.</w:t>
      </w:r>
    </w:p>
    <w:p w14:paraId="7FE652DC" w14:textId="77777777" w:rsidR="00447176" w:rsidRPr="00447176" w:rsidRDefault="00447176" w:rsidP="00447176">
      <w:r w:rsidRPr="00447176">
        <w:rPr>
          <w:b/>
          <w:bCs/>
        </w:rPr>
        <w:t>4. Remitir las actuaciones al tribunal de origen a sus efectos.</w:t>
      </w:r>
    </w:p>
    <w:p w14:paraId="4205C9EB" w14:textId="77777777" w:rsidR="00447176" w:rsidRPr="00447176" w:rsidRDefault="00447176" w:rsidP="00447176">
      <w:pPr>
        <w:rPr>
          <w:b/>
          <w:bCs/>
        </w:rPr>
      </w:pPr>
      <w:r w:rsidRPr="00447176">
        <w:rPr>
          <w:b/>
          <w:bCs/>
        </w:rPr>
        <w:t>Síntesis de la doctrina central del fallo</w:t>
      </w:r>
    </w:p>
    <w:p w14:paraId="732009EB" w14:textId="77777777" w:rsidR="00447176" w:rsidRPr="00447176" w:rsidRDefault="00447176" w:rsidP="00447176">
      <w:r w:rsidRPr="00447176">
        <w:t xml:space="preserve">Este pronunciamiento presenta </w:t>
      </w:r>
      <w:r w:rsidRPr="00447176">
        <w:rPr>
          <w:b/>
          <w:bCs/>
        </w:rPr>
        <w:t>dos cuestiones especialmente relevantes</w:t>
      </w:r>
      <w:r w:rsidRPr="00447176">
        <w:t>.</w:t>
      </w:r>
    </w:p>
    <w:p w14:paraId="2F297C80" w14:textId="77777777" w:rsidR="00447176" w:rsidRPr="00447176" w:rsidRDefault="00447176" w:rsidP="00447176">
      <w:r w:rsidRPr="00447176">
        <w:t xml:space="preserve">La primera es procesal: la Sala II sostiene que la </w:t>
      </w:r>
      <w:r w:rsidRPr="00447176">
        <w:rPr>
          <w:b/>
          <w:bCs/>
        </w:rPr>
        <w:t>cosa juzgada no impide la aplicación de una ley penal posterior más benigna</w:t>
      </w:r>
      <w:r w:rsidRPr="00447176">
        <w:t xml:space="preserve">. Cuando una reforma legislativa posterior determina que los </w:t>
      </w:r>
      <w:r w:rsidRPr="00447176">
        <w:lastRenderedPageBreak/>
        <w:t xml:space="preserve">hechos objeto de una condena firme han perdido relevancia penal, el </w:t>
      </w:r>
      <w:r w:rsidRPr="00447176">
        <w:rPr>
          <w:b/>
          <w:bCs/>
        </w:rPr>
        <w:t>recurso de revisión</w:t>
      </w:r>
      <w:r w:rsidRPr="00447176">
        <w:t xml:space="preserve"> permite remover esa condena y dictar la absolución.</w:t>
      </w:r>
    </w:p>
    <w:p w14:paraId="659A055A" w14:textId="77777777" w:rsidR="00447176" w:rsidRPr="00447176" w:rsidRDefault="00447176" w:rsidP="00447176">
      <w:r w:rsidRPr="00447176">
        <w:t xml:space="preserve">La segunda es sustantiva: existe unanimidad en que la elevación de una </w:t>
      </w:r>
      <w:r w:rsidRPr="00447176">
        <w:rPr>
          <w:b/>
          <w:bCs/>
        </w:rPr>
        <w:t>condición objetiva de punibilidad</w:t>
      </w:r>
      <w:r w:rsidRPr="00447176">
        <w:t xml:space="preserve"> por la ley 27.799 está alcanzada por el art. 2 CP. Slokar llega a esa conclusión principalmente por acatamiento a </w:t>
      </w:r>
      <w:r w:rsidRPr="00447176">
        <w:rPr>
          <w:b/>
          <w:bCs/>
        </w:rPr>
        <w:t>“Palero” y “Vidal”</w:t>
      </w:r>
      <w:r w:rsidRPr="00447176">
        <w:t xml:space="preserve">, pese a exteriorizar una valoración crítica de la política criminal de la reforma; Ledesma la fundamenta especialmente en la dimensión garantista y constitucional de la retroactividad favorable; y Yacobucci agrega el desarrollo dogmático más profundo, al sostener que las condiciones objetivas de punibilidad integran el </w:t>
      </w:r>
      <w:r w:rsidRPr="00447176">
        <w:rPr>
          <w:b/>
          <w:bCs/>
        </w:rPr>
        <w:t>“tipo garantía”</w:t>
      </w:r>
      <w:r w:rsidRPr="00447176">
        <w:t xml:space="preserve"> y delimitan el ámbito mismo de relevancia penal.</w:t>
      </w:r>
    </w:p>
    <w:p w14:paraId="60CC3924" w14:textId="77777777" w:rsidR="00447176" w:rsidRPr="00447176" w:rsidRDefault="00447176" w:rsidP="00447176">
      <w:r w:rsidRPr="00447176">
        <w:t xml:space="preserve">Por ello, para los tres jueces, una condena firme </w:t>
      </w:r>
      <w:r w:rsidRPr="00447176">
        <w:rPr>
          <w:b/>
          <w:bCs/>
        </w:rPr>
        <w:t>no puede mantenerse cuando una ley posterior ha elevado el umbral de punibilidad por encima de los montos correspondientes a los hechos juzgados</w:t>
      </w:r>
      <w:r w:rsidRPr="00447176">
        <w:t>.</w:t>
      </w:r>
    </w:p>
    <w:p w14:paraId="1969AE30" w14:textId="77777777" w:rsidR="00447176" w:rsidRDefault="00447176" w:rsidP="00A245F2"/>
    <w:sectPr w:rsidR="0044717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0256BC"/>
    <w:multiLevelType w:val="multilevel"/>
    <w:tmpl w:val="74C895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7A865B8"/>
    <w:multiLevelType w:val="multilevel"/>
    <w:tmpl w:val="06543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4E2C53"/>
    <w:multiLevelType w:val="multilevel"/>
    <w:tmpl w:val="5BB0D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E178B9"/>
    <w:multiLevelType w:val="multilevel"/>
    <w:tmpl w:val="25A46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D242698"/>
    <w:multiLevelType w:val="multilevel"/>
    <w:tmpl w:val="A4A01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25B2B47"/>
    <w:multiLevelType w:val="multilevel"/>
    <w:tmpl w:val="F7D64F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AE83745"/>
    <w:multiLevelType w:val="multilevel"/>
    <w:tmpl w:val="4496A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7292D92"/>
    <w:multiLevelType w:val="multilevel"/>
    <w:tmpl w:val="F8AEE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5"/>
  </w:num>
  <w:num w:numId="4">
    <w:abstractNumId w:val="0"/>
  </w:num>
  <w:num w:numId="5">
    <w:abstractNumId w:val="1"/>
  </w:num>
  <w:num w:numId="6">
    <w:abstractNumId w:val="2"/>
  </w:num>
  <w:num w:numId="7">
    <w:abstractNumId w:val="7"/>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5F2"/>
    <w:rsid w:val="00011ECE"/>
    <w:rsid w:val="000403BC"/>
    <w:rsid w:val="00052228"/>
    <w:rsid w:val="00106F4B"/>
    <w:rsid w:val="00131AD5"/>
    <w:rsid w:val="001457CF"/>
    <w:rsid w:val="00214965"/>
    <w:rsid w:val="002A228C"/>
    <w:rsid w:val="00301E1A"/>
    <w:rsid w:val="0035233F"/>
    <w:rsid w:val="00371EFA"/>
    <w:rsid w:val="003770F1"/>
    <w:rsid w:val="003B33CE"/>
    <w:rsid w:val="003C1B67"/>
    <w:rsid w:val="003F0828"/>
    <w:rsid w:val="00447176"/>
    <w:rsid w:val="00454564"/>
    <w:rsid w:val="0047685F"/>
    <w:rsid w:val="00490E2A"/>
    <w:rsid w:val="004A1FDE"/>
    <w:rsid w:val="004B7DB8"/>
    <w:rsid w:val="00546086"/>
    <w:rsid w:val="006558C1"/>
    <w:rsid w:val="00680BBF"/>
    <w:rsid w:val="006835FF"/>
    <w:rsid w:val="006E667C"/>
    <w:rsid w:val="00741DAA"/>
    <w:rsid w:val="00834AC2"/>
    <w:rsid w:val="00842F7F"/>
    <w:rsid w:val="00847C21"/>
    <w:rsid w:val="008524F9"/>
    <w:rsid w:val="008A1E26"/>
    <w:rsid w:val="0090241F"/>
    <w:rsid w:val="0092317F"/>
    <w:rsid w:val="00943FDA"/>
    <w:rsid w:val="00953070"/>
    <w:rsid w:val="009C4896"/>
    <w:rsid w:val="00A245F2"/>
    <w:rsid w:val="00A41390"/>
    <w:rsid w:val="00A41A63"/>
    <w:rsid w:val="00A70126"/>
    <w:rsid w:val="00A80CA3"/>
    <w:rsid w:val="00AB3EE5"/>
    <w:rsid w:val="00B049DF"/>
    <w:rsid w:val="00BC6009"/>
    <w:rsid w:val="00BE3C00"/>
    <w:rsid w:val="00BE6D37"/>
    <w:rsid w:val="00C01378"/>
    <w:rsid w:val="00C77559"/>
    <w:rsid w:val="00CD245D"/>
    <w:rsid w:val="00D05E65"/>
    <w:rsid w:val="00D80B9E"/>
    <w:rsid w:val="00D87AC6"/>
    <w:rsid w:val="00DE5DC6"/>
    <w:rsid w:val="00E34784"/>
    <w:rsid w:val="00E41648"/>
    <w:rsid w:val="00E45627"/>
    <w:rsid w:val="00F167B7"/>
    <w:rsid w:val="00F95E26"/>
    <w:rsid w:val="00FB136C"/>
    <w:rsid w:val="00FD74BC"/>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3F9F7"/>
  <w15:chartTrackingRefBased/>
  <w15:docId w15:val="{8B28AA45-A4B8-4FAA-8D41-5D225CF52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E6D37"/>
    <w:pPr>
      <w:ind w:left="720"/>
      <w:contextualSpacing/>
    </w:pPr>
  </w:style>
  <w:style w:type="paragraph" w:styleId="NormalWeb">
    <w:name w:val="Normal (Web)"/>
    <w:basedOn w:val="Normal"/>
    <w:uiPriority w:val="99"/>
    <w:semiHidden/>
    <w:unhideWhenUsed/>
    <w:rsid w:val="004B7DB8"/>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styleId="Textoennegrita">
    <w:name w:val="Strong"/>
    <w:basedOn w:val="Fuentedeprrafopredeter"/>
    <w:uiPriority w:val="22"/>
    <w:qFormat/>
    <w:rsid w:val="004B7D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2273">
      <w:bodyDiv w:val="1"/>
      <w:marLeft w:val="0"/>
      <w:marRight w:val="0"/>
      <w:marTop w:val="0"/>
      <w:marBottom w:val="0"/>
      <w:divBdr>
        <w:top w:val="none" w:sz="0" w:space="0" w:color="auto"/>
        <w:left w:val="none" w:sz="0" w:space="0" w:color="auto"/>
        <w:bottom w:val="none" w:sz="0" w:space="0" w:color="auto"/>
        <w:right w:val="none" w:sz="0" w:space="0" w:color="auto"/>
      </w:divBdr>
    </w:div>
    <w:div w:id="140777848">
      <w:bodyDiv w:val="1"/>
      <w:marLeft w:val="0"/>
      <w:marRight w:val="0"/>
      <w:marTop w:val="0"/>
      <w:marBottom w:val="0"/>
      <w:divBdr>
        <w:top w:val="none" w:sz="0" w:space="0" w:color="auto"/>
        <w:left w:val="none" w:sz="0" w:space="0" w:color="auto"/>
        <w:bottom w:val="none" w:sz="0" w:space="0" w:color="auto"/>
        <w:right w:val="none" w:sz="0" w:space="0" w:color="auto"/>
      </w:divBdr>
    </w:div>
    <w:div w:id="185680531">
      <w:bodyDiv w:val="1"/>
      <w:marLeft w:val="0"/>
      <w:marRight w:val="0"/>
      <w:marTop w:val="0"/>
      <w:marBottom w:val="0"/>
      <w:divBdr>
        <w:top w:val="none" w:sz="0" w:space="0" w:color="auto"/>
        <w:left w:val="none" w:sz="0" w:space="0" w:color="auto"/>
        <w:bottom w:val="none" w:sz="0" w:space="0" w:color="auto"/>
        <w:right w:val="none" w:sz="0" w:space="0" w:color="auto"/>
      </w:divBdr>
    </w:div>
    <w:div w:id="214127042">
      <w:bodyDiv w:val="1"/>
      <w:marLeft w:val="0"/>
      <w:marRight w:val="0"/>
      <w:marTop w:val="0"/>
      <w:marBottom w:val="0"/>
      <w:divBdr>
        <w:top w:val="none" w:sz="0" w:space="0" w:color="auto"/>
        <w:left w:val="none" w:sz="0" w:space="0" w:color="auto"/>
        <w:bottom w:val="none" w:sz="0" w:space="0" w:color="auto"/>
        <w:right w:val="none" w:sz="0" w:space="0" w:color="auto"/>
      </w:divBdr>
    </w:div>
    <w:div w:id="264657766">
      <w:bodyDiv w:val="1"/>
      <w:marLeft w:val="0"/>
      <w:marRight w:val="0"/>
      <w:marTop w:val="0"/>
      <w:marBottom w:val="0"/>
      <w:divBdr>
        <w:top w:val="none" w:sz="0" w:space="0" w:color="auto"/>
        <w:left w:val="none" w:sz="0" w:space="0" w:color="auto"/>
        <w:bottom w:val="none" w:sz="0" w:space="0" w:color="auto"/>
        <w:right w:val="none" w:sz="0" w:space="0" w:color="auto"/>
      </w:divBdr>
    </w:div>
    <w:div w:id="387073406">
      <w:bodyDiv w:val="1"/>
      <w:marLeft w:val="0"/>
      <w:marRight w:val="0"/>
      <w:marTop w:val="0"/>
      <w:marBottom w:val="0"/>
      <w:divBdr>
        <w:top w:val="none" w:sz="0" w:space="0" w:color="auto"/>
        <w:left w:val="none" w:sz="0" w:space="0" w:color="auto"/>
        <w:bottom w:val="none" w:sz="0" w:space="0" w:color="auto"/>
        <w:right w:val="none" w:sz="0" w:space="0" w:color="auto"/>
      </w:divBdr>
    </w:div>
    <w:div w:id="391777121">
      <w:bodyDiv w:val="1"/>
      <w:marLeft w:val="0"/>
      <w:marRight w:val="0"/>
      <w:marTop w:val="0"/>
      <w:marBottom w:val="0"/>
      <w:divBdr>
        <w:top w:val="none" w:sz="0" w:space="0" w:color="auto"/>
        <w:left w:val="none" w:sz="0" w:space="0" w:color="auto"/>
        <w:bottom w:val="none" w:sz="0" w:space="0" w:color="auto"/>
        <w:right w:val="none" w:sz="0" w:space="0" w:color="auto"/>
      </w:divBdr>
      <w:divsChild>
        <w:div w:id="4802738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6797626">
      <w:bodyDiv w:val="1"/>
      <w:marLeft w:val="0"/>
      <w:marRight w:val="0"/>
      <w:marTop w:val="0"/>
      <w:marBottom w:val="0"/>
      <w:divBdr>
        <w:top w:val="none" w:sz="0" w:space="0" w:color="auto"/>
        <w:left w:val="none" w:sz="0" w:space="0" w:color="auto"/>
        <w:bottom w:val="none" w:sz="0" w:space="0" w:color="auto"/>
        <w:right w:val="none" w:sz="0" w:space="0" w:color="auto"/>
      </w:divBdr>
    </w:div>
    <w:div w:id="656228338">
      <w:bodyDiv w:val="1"/>
      <w:marLeft w:val="0"/>
      <w:marRight w:val="0"/>
      <w:marTop w:val="0"/>
      <w:marBottom w:val="0"/>
      <w:divBdr>
        <w:top w:val="none" w:sz="0" w:space="0" w:color="auto"/>
        <w:left w:val="none" w:sz="0" w:space="0" w:color="auto"/>
        <w:bottom w:val="none" w:sz="0" w:space="0" w:color="auto"/>
        <w:right w:val="none" w:sz="0" w:space="0" w:color="auto"/>
      </w:divBdr>
    </w:div>
    <w:div w:id="717122401">
      <w:bodyDiv w:val="1"/>
      <w:marLeft w:val="0"/>
      <w:marRight w:val="0"/>
      <w:marTop w:val="0"/>
      <w:marBottom w:val="0"/>
      <w:divBdr>
        <w:top w:val="none" w:sz="0" w:space="0" w:color="auto"/>
        <w:left w:val="none" w:sz="0" w:space="0" w:color="auto"/>
        <w:bottom w:val="none" w:sz="0" w:space="0" w:color="auto"/>
        <w:right w:val="none" w:sz="0" w:space="0" w:color="auto"/>
      </w:divBdr>
    </w:div>
    <w:div w:id="761419472">
      <w:bodyDiv w:val="1"/>
      <w:marLeft w:val="0"/>
      <w:marRight w:val="0"/>
      <w:marTop w:val="0"/>
      <w:marBottom w:val="0"/>
      <w:divBdr>
        <w:top w:val="none" w:sz="0" w:space="0" w:color="auto"/>
        <w:left w:val="none" w:sz="0" w:space="0" w:color="auto"/>
        <w:bottom w:val="none" w:sz="0" w:space="0" w:color="auto"/>
        <w:right w:val="none" w:sz="0" w:space="0" w:color="auto"/>
      </w:divBdr>
      <w:divsChild>
        <w:div w:id="1291856877">
          <w:marLeft w:val="0"/>
          <w:marRight w:val="0"/>
          <w:marTop w:val="0"/>
          <w:marBottom w:val="0"/>
          <w:divBdr>
            <w:top w:val="none" w:sz="0" w:space="0" w:color="auto"/>
            <w:left w:val="none" w:sz="0" w:space="0" w:color="auto"/>
            <w:bottom w:val="none" w:sz="0" w:space="0" w:color="auto"/>
            <w:right w:val="none" w:sz="0" w:space="0" w:color="auto"/>
          </w:divBdr>
          <w:divsChild>
            <w:div w:id="1779446402">
              <w:marLeft w:val="0"/>
              <w:marRight w:val="0"/>
              <w:marTop w:val="0"/>
              <w:marBottom w:val="0"/>
              <w:divBdr>
                <w:top w:val="none" w:sz="0" w:space="0" w:color="auto"/>
                <w:left w:val="none" w:sz="0" w:space="0" w:color="auto"/>
                <w:bottom w:val="none" w:sz="0" w:space="0" w:color="auto"/>
                <w:right w:val="none" w:sz="0" w:space="0" w:color="auto"/>
              </w:divBdr>
              <w:divsChild>
                <w:div w:id="1760641985">
                  <w:marLeft w:val="0"/>
                  <w:marRight w:val="0"/>
                  <w:marTop w:val="0"/>
                  <w:marBottom w:val="0"/>
                  <w:divBdr>
                    <w:top w:val="none" w:sz="0" w:space="0" w:color="auto"/>
                    <w:left w:val="none" w:sz="0" w:space="0" w:color="auto"/>
                    <w:bottom w:val="none" w:sz="0" w:space="0" w:color="auto"/>
                    <w:right w:val="none" w:sz="0" w:space="0" w:color="auto"/>
                  </w:divBdr>
                  <w:divsChild>
                    <w:div w:id="385297580">
                      <w:marLeft w:val="0"/>
                      <w:marRight w:val="0"/>
                      <w:marTop w:val="0"/>
                      <w:marBottom w:val="0"/>
                      <w:divBdr>
                        <w:top w:val="none" w:sz="0" w:space="0" w:color="auto"/>
                        <w:left w:val="none" w:sz="0" w:space="0" w:color="auto"/>
                        <w:bottom w:val="none" w:sz="0" w:space="0" w:color="auto"/>
                        <w:right w:val="none" w:sz="0" w:space="0" w:color="auto"/>
                      </w:divBdr>
                      <w:divsChild>
                        <w:div w:id="382102286">
                          <w:marLeft w:val="0"/>
                          <w:marRight w:val="0"/>
                          <w:marTop w:val="0"/>
                          <w:marBottom w:val="0"/>
                          <w:divBdr>
                            <w:top w:val="none" w:sz="0" w:space="0" w:color="auto"/>
                            <w:left w:val="none" w:sz="0" w:space="0" w:color="auto"/>
                            <w:bottom w:val="none" w:sz="0" w:space="0" w:color="auto"/>
                            <w:right w:val="none" w:sz="0" w:space="0" w:color="auto"/>
                          </w:divBdr>
                          <w:divsChild>
                            <w:div w:id="1438255559">
                              <w:marLeft w:val="0"/>
                              <w:marRight w:val="0"/>
                              <w:marTop w:val="0"/>
                              <w:marBottom w:val="0"/>
                              <w:divBdr>
                                <w:top w:val="none" w:sz="0" w:space="0" w:color="auto"/>
                                <w:left w:val="none" w:sz="0" w:space="0" w:color="auto"/>
                                <w:bottom w:val="none" w:sz="0" w:space="0" w:color="auto"/>
                                <w:right w:val="none" w:sz="0" w:space="0" w:color="auto"/>
                              </w:divBdr>
                              <w:divsChild>
                                <w:div w:id="1065646774">
                                  <w:marLeft w:val="0"/>
                                  <w:marRight w:val="0"/>
                                  <w:marTop w:val="0"/>
                                  <w:marBottom w:val="0"/>
                                  <w:divBdr>
                                    <w:top w:val="none" w:sz="0" w:space="0" w:color="auto"/>
                                    <w:left w:val="none" w:sz="0" w:space="0" w:color="auto"/>
                                    <w:bottom w:val="none" w:sz="0" w:space="0" w:color="auto"/>
                                    <w:right w:val="none" w:sz="0" w:space="0" w:color="auto"/>
                                  </w:divBdr>
                                  <w:divsChild>
                                    <w:div w:id="249972102">
                                      <w:marLeft w:val="0"/>
                                      <w:marRight w:val="0"/>
                                      <w:marTop w:val="0"/>
                                      <w:marBottom w:val="0"/>
                                      <w:divBdr>
                                        <w:top w:val="none" w:sz="0" w:space="0" w:color="auto"/>
                                        <w:left w:val="none" w:sz="0" w:space="0" w:color="auto"/>
                                        <w:bottom w:val="none" w:sz="0" w:space="0" w:color="auto"/>
                                        <w:right w:val="none" w:sz="0" w:space="0" w:color="auto"/>
                                      </w:divBdr>
                                      <w:divsChild>
                                        <w:div w:id="372776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7648026">
              <w:marLeft w:val="0"/>
              <w:marRight w:val="0"/>
              <w:marTop w:val="0"/>
              <w:marBottom w:val="0"/>
              <w:divBdr>
                <w:top w:val="none" w:sz="0" w:space="0" w:color="auto"/>
                <w:left w:val="none" w:sz="0" w:space="0" w:color="auto"/>
                <w:bottom w:val="none" w:sz="0" w:space="0" w:color="auto"/>
                <w:right w:val="none" w:sz="0" w:space="0" w:color="auto"/>
              </w:divBdr>
              <w:divsChild>
                <w:div w:id="2076706560">
                  <w:marLeft w:val="0"/>
                  <w:marRight w:val="0"/>
                  <w:marTop w:val="0"/>
                  <w:marBottom w:val="0"/>
                  <w:divBdr>
                    <w:top w:val="none" w:sz="0" w:space="0" w:color="auto"/>
                    <w:left w:val="none" w:sz="0" w:space="0" w:color="auto"/>
                    <w:bottom w:val="none" w:sz="0" w:space="0" w:color="auto"/>
                    <w:right w:val="none" w:sz="0" w:space="0" w:color="auto"/>
                  </w:divBdr>
                  <w:divsChild>
                    <w:div w:id="1015573495">
                      <w:marLeft w:val="0"/>
                      <w:marRight w:val="0"/>
                      <w:marTop w:val="0"/>
                      <w:marBottom w:val="0"/>
                      <w:divBdr>
                        <w:top w:val="none" w:sz="0" w:space="0" w:color="auto"/>
                        <w:left w:val="none" w:sz="0" w:space="0" w:color="auto"/>
                        <w:bottom w:val="none" w:sz="0" w:space="0" w:color="auto"/>
                        <w:right w:val="none" w:sz="0" w:space="0" w:color="auto"/>
                      </w:divBdr>
                      <w:divsChild>
                        <w:div w:id="292252257">
                          <w:marLeft w:val="0"/>
                          <w:marRight w:val="0"/>
                          <w:marTop w:val="0"/>
                          <w:marBottom w:val="0"/>
                          <w:divBdr>
                            <w:top w:val="none" w:sz="0" w:space="0" w:color="auto"/>
                            <w:left w:val="none" w:sz="0" w:space="0" w:color="auto"/>
                            <w:bottom w:val="none" w:sz="0" w:space="0" w:color="auto"/>
                            <w:right w:val="none" w:sz="0" w:space="0" w:color="auto"/>
                          </w:divBdr>
                          <w:divsChild>
                            <w:div w:id="837229614">
                              <w:marLeft w:val="0"/>
                              <w:marRight w:val="0"/>
                              <w:marTop w:val="0"/>
                              <w:marBottom w:val="0"/>
                              <w:divBdr>
                                <w:top w:val="none" w:sz="0" w:space="0" w:color="auto"/>
                                <w:left w:val="none" w:sz="0" w:space="0" w:color="auto"/>
                                <w:bottom w:val="none" w:sz="0" w:space="0" w:color="auto"/>
                                <w:right w:val="none" w:sz="0" w:space="0" w:color="auto"/>
                              </w:divBdr>
                              <w:divsChild>
                                <w:div w:id="929313597">
                                  <w:marLeft w:val="0"/>
                                  <w:marRight w:val="0"/>
                                  <w:marTop w:val="0"/>
                                  <w:marBottom w:val="0"/>
                                  <w:divBdr>
                                    <w:top w:val="none" w:sz="0" w:space="0" w:color="auto"/>
                                    <w:left w:val="none" w:sz="0" w:space="0" w:color="auto"/>
                                    <w:bottom w:val="none" w:sz="0" w:space="0" w:color="auto"/>
                                    <w:right w:val="none" w:sz="0" w:space="0" w:color="auto"/>
                                  </w:divBdr>
                                  <w:divsChild>
                                    <w:div w:id="1967003357">
                                      <w:marLeft w:val="0"/>
                                      <w:marRight w:val="0"/>
                                      <w:marTop w:val="0"/>
                                      <w:marBottom w:val="0"/>
                                      <w:divBdr>
                                        <w:top w:val="none" w:sz="0" w:space="0" w:color="auto"/>
                                        <w:left w:val="none" w:sz="0" w:space="0" w:color="auto"/>
                                        <w:bottom w:val="none" w:sz="0" w:space="0" w:color="auto"/>
                                        <w:right w:val="none" w:sz="0" w:space="0" w:color="auto"/>
                                      </w:divBdr>
                                      <w:divsChild>
                                        <w:div w:id="1592198457">
                                          <w:marLeft w:val="0"/>
                                          <w:marRight w:val="0"/>
                                          <w:marTop w:val="0"/>
                                          <w:marBottom w:val="0"/>
                                          <w:divBdr>
                                            <w:top w:val="none" w:sz="0" w:space="0" w:color="auto"/>
                                            <w:left w:val="none" w:sz="0" w:space="0" w:color="auto"/>
                                            <w:bottom w:val="none" w:sz="0" w:space="0" w:color="auto"/>
                                            <w:right w:val="none" w:sz="0" w:space="0" w:color="auto"/>
                                          </w:divBdr>
                                          <w:divsChild>
                                            <w:div w:id="1572472054">
                                              <w:marLeft w:val="0"/>
                                              <w:marRight w:val="0"/>
                                              <w:marTop w:val="0"/>
                                              <w:marBottom w:val="0"/>
                                              <w:divBdr>
                                                <w:top w:val="none" w:sz="0" w:space="0" w:color="auto"/>
                                                <w:left w:val="none" w:sz="0" w:space="0" w:color="auto"/>
                                                <w:bottom w:val="none" w:sz="0" w:space="0" w:color="auto"/>
                                                <w:right w:val="none" w:sz="0" w:space="0" w:color="auto"/>
                                              </w:divBdr>
                                              <w:divsChild>
                                                <w:div w:id="765226231">
                                                  <w:marLeft w:val="0"/>
                                                  <w:marRight w:val="0"/>
                                                  <w:marTop w:val="0"/>
                                                  <w:marBottom w:val="0"/>
                                                  <w:divBdr>
                                                    <w:top w:val="none" w:sz="0" w:space="0" w:color="auto"/>
                                                    <w:left w:val="none" w:sz="0" w:space="0" w:color="auto"/>
                                                    <w:bottom w:val="none" w:sz="0" w:space="0" w:color="auto"/>
                                                    <w:right w:val="none" w:sz="0" w:space="0" w:color="auto"/>
                                                  </w:divBdr>
                                                  <w:divsChild>
                                                    <w:div w:id="643505445">
                                                      <w:marLeft w:val="0"/>
                                                      <w:marRight w:val="0"/>
                                                      <w:marTop w:val="0"/>
                                                      <w:marBottom w:val="0"/>
                                                      <w:divBdr>
                                                        <w:top w:val="none" w:sz="0" w:space="0" w:color="auto"/>
                                                        <w:left w:val="none" w:sz="0" w:space="0" w:color="auto"/>
                                                        <w:bottom w:val="none" w:sz="0" w:space="0" w:color="auto"/>
                                                        <w:right w:val="none" w:sz="0" w:space="0" w:color="auto"/>
                                                      </w:divBdr>
                                                      <w:divsChild>
                                                        <w:div w:id="732509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79651723">
              <w:marLeft w:val="0"/>
              <w:marRight w:val="0"/>
              <w:marTop w:val="0"/>
              <w:marBottom w:val="0"/>
              <w:divBdr>
                <w:top w:val="none" w:sz="0" w:space="0" w:color="auto"/>
                <w:left w:val="none" w:sz="0" w:space="0" w:color="auto"/>
                <w:bottom w:val="none" w:sz="0" w:space="0" w:color="auto"/>
                <w:right w:val="none" w:sz="0" w:space="0" w:color="auto"/>
              </w:divBdr>
              <w:divsChild>
                <w:div w:id="1214737075">
                  <w:marLeft w:val="0"/>
                  <w:marRight w:val="0"/>
                  <w:marTop w:val="0"/>
                  <w:marBottom w:val="0"/>
                  <w:divBdr>
                    <w:top w:val="none" w:sz="0" w:space="0" w:color="auto"/>
                    <w:left w:val="none" w:sz="0" w:space="0" w:color="auto"/>
                    <w:bottom w:val="none" w:sz="0" w:space="0" w:color="auto"/>
                    <w:right w:val="none" w:sz="0" w:space="0" w:color="auto"/>
                  </w:divBdr>
                  <w:divsChild>
                    <w:div w:id="773087204">
                      <w:marLeft w:val="0"/>
                      <w:marRight w:val="0"/>
                      <w:marTop w:val="0"/>
                      <w:marBottom w:val="0"/>
                      <w:divBdr>
                        <w:top w:val="none" w:sz="0" w:space="0" w:color="auto"/>
                        <w:left w:val="none" w:sz="0" w:space="0" w:color="auto"/>
                        <w:bottom w:val="none" w:sz="0" w:space="0" w:color="auto"/>
                        <w:right w:val="none" w:sz="0" w:space="0" w:color="auto"/>
                      </w:divBdr>
                      <w:divsChild>
                        <w:div w:id="942958750">
                          <w:marLeft w:val="0"/>
                          <w:marRight w:val="0"/>
                          <w:marTop w:val="0"/>
                          <w:marBottom w:val="0"/>
                          <w:divBdr>
                            <w:top w:val="none" w:sz="0" w:space="0" w:color="auto"/>
                            <w:left w:val="none" w:sz="0" w:space="0" w:color="auto"/>
                            <w:bottom w:val="none" w:sz="0" w:space="0" w:color="auto"/>
                            <w:right w:val="none" w:sz="0" w:space="0" w:color="auto"/>
                          </w:divBdr>
                          <w:divsChild>
                            <w:div w:id="271210400">
                              <w:marLeft w:val="0"/>
                              <w:marRight w:val="0"/>
                              <w:marTop w:val="0"/>
                              <w:marBottom w:val="0"/>
                              <w:divBdr>
                                <w:top w:val="none" w:sz="0" w:space="0" w:color="auto"/>
                                <w:left w:val="none" w:sz="0" w:space="0" w:color="auto"/>
                                <w:bottom w:val="none" w:sz="0" w:space="0" w:color="auto"/>
                                <w:right w:val="none" w:sz="0" w:space="0" w:color="auto"/>
                              </w:divBdr>
                              <w:divsChild>
                                <w:div w:id="370882724">
                                  <w:marLeft w:val="0"/>
                                  <w:marRight w:val="0"/>
                                  <w:marTop w:val="0"/>
                                  <w:marBottom w:val="0"/>
                                  <w:divBdr>
                                    <w:top w:val="none" w:sz="0" w:space="0" w:color="auto"/>
                                    <w:left w:val="none" w:sz="0" w:space="0" w:color="auto"/>
                                    <w:bottom w:val="none" w:sz="0" w:space="0" w:color="auto"/>
                                    <w:right w:val="none" w:sz="0" w:space="0" w:color="auto"/>
                                  </w:divBdr>
                                  <w:divsChild>
                                    <w:div w:id="2067948975">
                                      <w:marLeft w:val="0"/>
                                      <w:marRight w:val="0"/>
                                      <w:marTop w:val="0"/>
                                      <w:marBottom w:val="0"/>
                                      <w:divBdr>
                                        <w:top w:val="none" w:sz="0" w:space="0" w:color="auto"/>
                                        <w:left w:val="none" w:sz="0" w:space="0" w:color="auto"/>
                                        <w:bottom w:val="none" w:sz="0" w:space="0" w:color="auto"/>
                                        <w:right w:val="none" w:sz="0" w:space="0" w:color="auto"/>
                                      </w:divBdr>
                                      <w:divsChild>
                                        <w:div w:id="99661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0848056">
              <w:marLeft w:val="0"/>
              <w:marRight w:val="0"/>
              <w:marTop w:val="0"/>
              <w:marBottom w:val="0"/>
              <w:divBdr>
                <w:top w:val="none" w:sz="0" w:space="0" w:color="auto"/>
                <w:left w:val="none" w:sz="0" w:space="0" w:color="auto"/>
                <w:bottom w:val="none" w:sz="0" w:space="0" w:color="auto"/>
                <w:right w:val="none" w:sz="0" w:space="0" w:color="auto"/>
              </w:divBdr>
              <w:divsChild>
                <w:div w:id="825707291">
                  <w:marLeft w:val="0"/>
                  <w:marRight w:val="0"/>
                  <w:marTop w:val="0"/>
                  <w:marBottom w:val="0"/>
                  <w:divBdr>
                    <w:top w:val="none" w:sz="0" w:space="0" w:color="auto"/>
                    <w:left w:val="none" w:sz="0" w:space="0" w:color="auto"/>
                    <w:bottom w:val="none" w:sz="0" w:space="0" w:color="auto"/>
                    <w:right w:val="none" w:sz="0" w:space="0" w:color="auto"/>
                  </w:divBdr>
                  <w:divsChild>
                    <w:div w:id="1389762836">
                      <w:marLeft w:val="0"/>
                      <w:marRight w:val="0"/>
                      <w:marTop w:val="0"/>
                      <w:marBottom w:val="0"/>
                      <w:divBdr>
                        <w:top w:val="none" w:sz="0" w:space="0" w:color="auto"/>
                        <w:left w:val="none" w:sz="0" w:space="0" w:color="auto"/>
                        <w:bottom w:val="none" w:sz="0" w:space="0" w:color="auto"/>
                        <w:right w:val="none" w:sz="0" w:space="0" w:color="auto"/>
                      </w:divBdr>
                      <w:divsChild>
                        <w:div w:id="996762867">
                          <w:marLeft w:val="0"/>
                          <w:marRight w:val="0"/>
                          <w:marTop w:val="0"/>
                          <w:marBottom w:val="0"/>
                          <w:divBdr>
                            <w:top w:val="none" w:sz="0" w:space="0" w:color="auto"/>
                            <w:left w:val="none" w:sz="0" w:space="0" w:color="auto"/>
                            <w:bottom w:val="none" w:sz="0" w:space="0" w:color="auto"/>
                            <w:right w:val="none" w:sz="0" w:space="0" w:color="auto"/>
                          </w:divBdr>
                          <w:divsChild>
                            <w:div w:id="1498032569">
                              <w:marLeft w:val="0"/>
                              <w:marRight w:val="0"/>
                              <w:marTop w:val="0"/>
                              <w:marBottom w:val="0"/>
                              <w:divBdr>
                                <w:top w:val="none" w:sz="0" w:space="0" w:color="auto"/>
                                <w:left w:val="none" w:sz="0" w:space="0" w:color="auto"/>
                                <w:bottom w:val="none" w:sz="0" w:space="0" w:color="auto"/>
                                <w:right w:val="none" w:sz="0" w:space="0" w:color="auto"/>
                              </w:divBdr>
                              <w:divsChild>
                                <w:div w:id="4946651">
                                  <w:marLeft w:val="0"/>
                                  <w:marRight w:val="0"/>
                                  <w:marTop w:val="0"/>
                                  <w:marBottom w:val="0"/>
                                  <w:divBdr>
                                    <w:top w:val="none" w:sz="0" w:space="0" w:color="auto"/>
                                    <w:left w:val="none" w:sz="0" w:space="0" w:color="auto"/>
                                    <w:bottom w:val="none" w:sz="0" w:space="0" w:color="auto"/>
                                    <w:right w:val="none" w:sz="0" w:space="0" w:color="auto"/>
                                  </w:divBdr>
                                  <w:divsChild>
                                    <w:div w:id="1870072329">
                                      <w:marLeft w:val="0"/>
                                      <w:marRight w:val="0"/>
                                      <w:marTop w:val="0"/>
                                      <w:marBottom w:val="0"/>
                                      <w:divBdr>
                                        <w:top w:val="none" w:sz="0" w:space="0" w:color="auto"/>
                                        <w:left w:val="none" w:sz="0" w:space="0" w:color="auto"/>
                                        <w:bottom w:val="none" w:sz="0" w:space="0" w:color="auto"/>
                                        <w:right w:val="none" w:sz="0" w:space="0" w:color="auto"/>
                                      </w:divBdr>
                                      <w:divsChild>
                                        <w:div w:id="1774782434">
                                          <w:marLeft w:val="0"/>
                                          <w:marRight w:val="0"/>
                                          <w:marTop w:val="0"/>
                                          <w:marBottom w:val="0"/>
                                          <w:divBdr>
                                            <w:top w:val="none" w:sz="0" w:space="0" w:color="auto"/>
                                            <w:left w:val="none" w:sz="0" w:space="0" w:color="auto"/>
                                            <w:bottom w:val="none" w:sz="0" w:space="0" w:color="auto"/>
                                            <w:right w:val="none" w:sz="0" w:space="0" w:color="auto"/>
                                          </w:divBdr>
                                          <w:divsChild>
                                            <w:div w:id="1152872485">
                                              <w:marLeft w:val="0"/>
                                              <w:marRight w:val="0"/>
                                              <w:marTop w:val="0"/>
                                              <w:marBottom w:val="0"/>
                                              <w:divBdr>
                                                <w:top w:val="none" w:sz="0" w:space="0" w:color="auto"/>
                                                <w:left w:val="none" w:sz="0" w:space="0" w:color="auto"/>
                                                <w:bottom w:val="none" w:sz="0" w:space="0" w:color="auto"/>
                                                <w:right w:val="none" w:sz="0" w:space="0" w:color="auto"/>
                                              </w:divBdr>
                                              <w:divsChild>
                                                <w:div w:id="402215827">
                                                  <w:marLeft w:val="0"/>
                                                  <w:marRight w:val="0"/>
                                                  <w:marTop w:val="0"/>
                                                  <w:marBottom w:val="0"/>
                                                  <w:divBdr>
                                                    <w:top w:val="none" w:sz="0" w:space="0" w:color="auto"/>
                                                    <w:left w:val="none" w:sz="0" w:space="0" w:color="auto"/>
                                                    <w:bottom w:val="none" w:sz="0" w:space="0" w:color="auto"/>
                                                    <w:right w:val="none" w:sz="0" w:space="0" w:color="auto"/>
                                                  </w:divBdr>
                                                  <w:divsChild>
                                                    <w:div w:id="470830273">
                                                      <w:marLeft w:val="0"/>
                                                      <w:marRight w:val="0"/>
                                                      <w:marTop w:val="0"/>
                                                      <w:marBottom w:val="0"/>
                                                      <w:divBdr>
                                                        <w:top w:val="none" w:sz="0" w:space="0" w:color="auto"/>
                                                        <w:left w:val="none" w:sz="0" w:space="0" w:color="auto"/>
                                                        <w:bottom w:val="none" w:sz="0" w:space="0" w:color="auto"/>
                                                        <w:right w:val="none" w:sz="0" w:space="0" w:color="auto"/>
                                                      </w:divBdr>
                                                      <w:divsChild>
                                                        <w:div w:id="179093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73104558">
              <w:marLeft w:val="0"/>
              <w:marRight w:val="0"/>
              <w:marTop w:val="0"/>
              <w:marBottom w:val="0"/>
              <w:divBdr>
                <w:top w:val="none" w:sz="0" w:space="0" w:color="auto"/>
                <w:left w:val="none" w:sz="0" w:space="0" w:color="auto"/>
                <w:bottom w:val="none" w:sz="0" w:space="0" w:color="auto"/>
                <w:right w:val="none" w:sz="0" w:space="0" w:color="auto"/>
              </w:divBdr>
              <w:divsChild>
                <w:div w:id="1076394611">
                  <w:marLeft w:val="0"/>
                  <w:marRight w:val="0"/>
                  <w:marTop w:val="0"/>
                  <w:marBottom w:val="0"/>
                  <w:divBdr>
                    <w:top w:val="none" w:sz="0" w:space="0" w:color="auto"/>
                    <w:left w:val="none" w:sz="0" w:space="0" w:color="auto"/>
                    <w:bottom w:val="none" w:sz="0" w:space="0" w:color="auto"/>
                    <w:right w:val="none" w:sz="0" w:space="0" w:color="auto"/>
                  </w:divBdr>
                  <w:divsChild>
                    <w:div w:id="2095742619">
                      <w:marLeft w:val="0"/>
                      <w:marRight w:val="0"/>
                      <w:marTop w:val="0"/>
                      <w:marBottom w:val="0"/>
                      <w:divBdr>
                        <w:top w:val="none" w:sz="0" w:space="0" w:color="auto"/>
                        <w:left w:val="none" w:sz="0" w:space="0" w:color="auto"/>
                        <w:bottom w:val="none" w:sz="0" w:space="0" w:color="auto"/>
                        <w:right w:val="none" w:sz="0" w:space="0" w:color="auto"/>
                      </w:divBdr>
                      <w:divsChild>
                        <w:div w:id="18046562">
                          <w:marLeft w:val="0"/>
                          <w:marRight w:val="0"/>
                          <w:marTop w:val="0"/>
                          <w:marBottom w:val="0"/>
                          <w:divBdr>
                            <w:top w:val="none" w:sz="0" w:space="0" w:color="auto"/>
                            <w:left w:val="none" w:sz="0" w:space="0" w:color="auto"/>
                            <w:bottom w:val="none" w:sz="0" w:space="0" w:color="auto"/>
                            <w:right w:val="none" w:sz="0" w:space="0" w:color="auto"/>
                          </w:divBdr>
                          <w:divsChild>
                            <w:div w:id="696857473">
                              <w:marLeft w:val="0"/>
                              <w:marRight w:val="0"/>
                              <w:marTop w:val="0"/>
                              <w:marBottom w:val="0"/>
                              <w:divBdr>
                                <w:top w:val="none" w:sz="0" w:space="0" w:color="auto"/>
                                <w:left w:val="none" w:sz="0" w:space="0" w:color="auto"/>
                                <w:bottom w:val="none" w:sz="0" w:space="0" w:color="auto"/>
                                <w:right w:val="none" w:sz="0" w:space="0" w:color="auto"/>
                              </w:divBdr>
                              <w:divsChild>
                                <w:div w:id="1472094603">
                                  <w:marLeft w:val="0"/>
                                  <w:marRight w:val="0"/>
                                  <w:marTop w:val="0"/>
                                  <w:marBottom w:val="0"/>
                                  <w:divBdr>
                                    <w:top w:val="none" w:sz="0" w:space="0" w:color="auto"/>
                                    <w:left w:val="none" w:sz="0" w:space="0" w:color="auto"/>
                                    <w:bottom w:val="none" w:sz="0" w:space="0" w:color="auto"/>
                                    <w:right w:val="none" w:sz="0" w:space="0" w:color="auto"/>
                                  </w:divBdr>
                                  <w:divsChild>
                                    <w:div w:id="1466309579">
                                      <w:marLeft w:val="0"/>
                                      <w:marRight w:val="0"/>
                                      <w:marTop w:val="0"/>
                                      <w:marBottom w:val="0"/>
                                      <w:divBdr>
                                        <w:top w:val="none" w:sz="0" w:space="0" w:color="auto"/>
                                        <w:left w:val="none" w:sz="0" w:space="0" w:color="auto"/>
                                        <w:bottom w:val="none" w:sz="0" w:space="0" w:color="auto"/>
                                        <w:right w:val="none" w:sz="0" w:space="0" w:color="auto"/>
                                      </w:divBdr>
                                      <w:divsChild>
                                        <w:div w:id="1652521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2259347">
      <w:bodyDiv w:val="1"/>
      <w:marLeft w:val="0"/>
      <w:marRight w:val="0"/>
      <w:marTop w:val="0"/>
      <w:marBottom w:val="0"/>
      <w:divBdr>
        <w:top w:val="none" w:sz="0" w:space="0" w:color="auto"/>
        <w:left w:val="none" w:sz="0" w:space="0" w:color="auto"/>
        <w:bottom w:val="none" w:sz="0" w:space="0" w:color="auto"/>
        <w:right w:val="none" w:sz="0" w:space="0" w:color="auto"/>
      </w:divBdr>
    </w:div>
    <w:div w:id="942224599">
      <w:bodyDiv w:val="1"/>
      <w:marLeft w:val="0"/>
      <w:marRight w:val="0"/>
      <w:marTop w:val="0"/>
      <w:marBottom w:val="0"/>
      <w:divBdr>
        <w:top w:val="none" w:sz="0" w:space="0" w:color="auto"/>
        <w:left w:val="none" w:sz="0" w:space="0" w:color="auto"/>
        <w:bottom w:val="none" w:sz="0" w:space="0" w:color="auto"/>
        <w:right w:val="none" w:sz="0" w:space="0" w:color="auto"/>
      </w:divBdr>
    </w:div>
    <w:div w:id="1021973596">
      <w:bodyDiv w:val="1"/>
      <w:marLeft w:val="0"/>
      <w:marRight w:val="0"/>
      <w:marTop w:val="0"/>
      <w:marBottom w:val="0"/>
      <w:divBdr>
        <w:top w:val="none" w:sz="0" w:space="0" w:color="auto"/>
        <w:left w:val="none" w:sz="0" w:space="0" w:color="auto"/>
        <w:bottom w:val="none" w:sz="0" w:space="0" w:color="auto"/>
        <w:right w:val="none" w:sz="0" w:space="0" w:color="auto"/>
      </w:divBdr>
    </w:div>
    <w:div w:id="1039091163">
      <w:bodyDiv w:val="1"/>
      <w:marLeft w:val="0"/>
      <w:marRight w:val="0"/>
      <w:marTop w:val="0"/>
      <w:marBottom w:val="0"/>
      <w:divBdr>
        <w:top w:val="none" w:sz="0" w:space="0" w:color="auto"/>
        <w:left w:val="none" w:sz="0" w:space="0" w:color="auto"/>
        <w:bottom w:val="none" w:sz="0" w:space="0" w:color="auto"/>
        <w:right w:val="none" w:sz="0" w:space="0" w:color="auto"/>
      </w:divBdr>
    </w:div>
    <w:div w:id="1062752212">
      <w:bodyDiv w:val="1"/>
      <w:marLeft w:val="0"/>
      <w:marRight w:val="0"/>
      <w:marTop w:val="0"/>
      <w:marBottom w:val="0"/>
      <w:divBdr>
        <w:top w:val="none" w:sz="0" w:space="0" w:color="auto"/>
        <w:left w:val="none" w:sz="0" w:space="0" w:color="auto"/>
        <w:bottom w:val="none" w:sz="0" w:space="0" w:color="auto"/>
        <w:right w:val="none" w:sz="0" w:space="0" w:color="auto"/>
      </w:divBdr>
    </w:div>
    <w:div w:id="1072001395">
      <w:bodyDiv w:val="1"/>
      <w:marLeft w:val="0"/>
      <w:marRight w:val="0"/>
      <w:marTop w:val="0"/>
      <w:marBottom w:val="0"/>
      <w:divBdr>
        <w:top w:val="none" w:sz="0" w:space="0" w:color="auto"/>
        <w:left w:val="none" w:sz="0" w:space="0" w:color="auto"/>
        <w:bottom w:val="none" w:sz="0" w:space="0" w:color="auto"/>
        <w:right w:val="none" w:sz="0" w:space="0" w:color="auto"/>
      </w:divBdr>
    </w:div>
    <w:div w:id="1241021432">
      <w:bodyDiv w:val="1"/>
      <w:marLeft w:val="0"/>
      <w:marRight w:val="0"/>
      <w:marTop w:val="0"/>
      <w:marBottom w:val="0"/>
      <w:divBdr>
        <w:top w:val="none" w:sz="0" w:space="0" w:color="auto"/>
        <w:left w:val="none" w:sz="0" w:space="0" w:color="auto"/>
        <w:bottom w:val="none" w:sz="0" w:space="0" w:color="auto"/>
        <w:right w:val="none" w:sz="0" w:space="0" w:color="auto"/>
      </w:divBdr>
    </w:div>
    <w:div w:id="1277130937">
      <w:bodyDiv w:val="1"/>
      <w:marLeft w:val="0"/>
      <w:marRight w:val="0"/>
      <w:marTop w:val="0"/>
      <w:marBottom w:val="0"/>
      <w:divBdr>
        <w:top w:val="none" w:sz="0" w:space="0" w:color="auto"/>
        <w:left w:val="none" w:sz="0" w:space="0" w:color="auto"/>
        <w:bottom w:val="none" w:sz="0" w:space="0" w:color="auto"/>
        <w:right w:val="none" w:sz="0" w:space="0" w:color="auto"/>
      </w:divBdr>
    </w:div>
    <w:div w:id="1317807073">
      <w:bodyDiv w:val="1"/>
      <w:marLeft w:val="0"/>
      <w:marRight w:val="0"/>
      <w:marTop w:val="0"/>
      <w:marBottom w:val="0"/>
      <w:divBdr>
        <w:top w:val="none" w:sz="0" w:space="0" w:color="auto"/>
        <w:left w:val="none" w:sz="0" w:space="0" w:color="auto"/>
        <w:bottom w:val="none" w:sz="0" w:space="0" w:color="auto"/>
        <w:right w:val="none" w:sz="0" w:space="0" w:color="auto"/>
      </w:divBdr>
    </w:div>
    <w:div w:id="1453938334">
      <w:bodyDiv w:val="1"/>
      <w:marLeft w:val="0"/>
      <w:marRight w:val="0"/>
      <w:marTop w:val="0"/>
      <w:marBottom w:val="0"/>
      <w:divBdr>
        <w:top w:val="none" w:sz="0" w:space="0" w:color="auto"/>
        <w:left w:val="none" w:sz="0" w:space="0" w:color="auto"/>
        <w:bottom w:val="none" w:sz="0" w:space="0" w:color="auto"/>
        <w:right w:val="none" w:sz="0" w:space="0" w:color="auto"/>
      </w:divBdr>
    </w:div>
    <w:div w:id="1466314767">
      <w:bodyDiv w:val="1"/>
      <w:marLeft w:val="0"/>
      <w:marRight w:val="0"/>
      <w:marTop w:val="0"/>
      <w:marBottom w:val="0"/>
      <w:divBdr>
        <w:top w:val="none" w:sz="0" w:space="0" w:color="auto"/>
        <w:left w:val="none" w:sz="0" w:space="0" w:color="auto"/>
        <w:bottom w:val="none" w:sz="0" w:space="0" w:color="auto"/>
        <w:right w:val="none" w:sz="0" w:space="0" w:color="auto"/>
      </w:divBdr>
    </w:div>
    <w:div w:id="1511211327">
      <w:bodyDiv w:val="1"/>
      <w:marLeft w:val="0"/>
      <w:marRight w:val="0"/>
      <w:marTop w:val="0"/>
      <w:marBottom w:val="0"/>
      <w:divBdr>
        <w:top w:val="none" w:sz="0" w:space="0" w:color="auto"/>
        <w:left w:val="none" w:sz="0" w:space="0" w:color="auto"/>
        <w:bottom w:val="none" w:sz="0" w:space="0" w:color="auto"/>
        <w:right w:val="none" w:sz="0" w:space="0" w:color="auto"/>
      </w:divBdr>
    </w:div>
    <w:div w:id="1587304611">
      <w:bodyDiv w:val="1"/>
      <w:marLeft w:val="0"/>
      <w:marRight w:val="0"/>
      <w:marTop w:val="0"/>
      <w:marBottom w:val="0"/>
      <w:divBdr>
        <w:top w:val="none" w:sz="0" w:space="0" w:color="auto"/>
        <w:left w:val="none" w:sz="0" w:space="0" w:color="auto"/>
        <w:bottom w:val="none" w:sz="0" w:space="0" w:color="auto"/>
        <w:right w:val="none" w:sz="0" w:space="0" w:color="auto"/>
      </w:divBdr>
    </w:div>
    <w:div w:id="1619333604">
      <w:bodyDiv w:val="1"/>
      <w:marLeft w:val="0"/>
      <w:marRight w:val="0"/>
      <w:marTop w:val="0"/>
      <w:marBottom w:val="0"/>
      <w:divBdr>
        <w:top w:val="none" w:sz="0" w:space="0" w:color="auto"/>
        <w:left w:val="none" w:sz="0" w:space="0" w:color="auto"/>
        <w:bottom w:val="none" w:sz="0" w:space="0" w:color="auto"/>
        <w:right w:val="none" w:sz="0" w:space="0" w:color="auto"/>
      </w:divBdr>
      <w:divsChild>
        <w:div w:id="244922661">
          <w:marLeft w:val="0"/>
          <w:marRight w:val="0"/>
          <w:marTop w:val="0"/>
          <w:marBottom w:val="0"/>
          <w:divBdr>
            <w:top w:val="none" w:sz="0" w:space="0" w:color="auto"/>
            <w:left w:val="none" w:sz="0" w:space="0" w:color="auto"/>
            <w:bottom w:val="none" w:sz="0" w:space="0" w:color="auto"/>
            <w:right w:val="none" w:sz="0" w:space="0" w:color="auto"/>
          </w:divBdr>
          <w:divsChild>
            <w:div w:id="885751724">
              <w:marLeft w:val="0"/>
              <w:marRight w:val="0"/>
              <w:marTop w:val="0"/>
              <w:marBottom w:val="0"/>
              <w:divBdr>
                <w:top w:val="none" w:sz="0" w:space="0" w:color="auto"/>
                <w:left w:val="none" w:sz="0" w:space="0" w:color="auto"/>
                <w:bottom w:val="none" w:sz="0" w:space="0" w:color="auto"/>
                <w:right w:val="none" w:sz="0" w:space="0" w:color="auto"/>
              </w:divBdr>
              <w:divsChild>
                <w:div w:id="1465350090">
                  <w:marLeft w:val="0"/>
                  <w:marRight w:val="0"/>
                  <w:marTop w:val="0"/>
                  <w:marBottom w:val="0"/>
                  <w:divBdr>
                    <w:top w:val="none" w:sz="0" w:space="0" w:color="auto"/>
                    <w:left w:val="none" w:sz="0" w:space="0" w:color="auto"/>
                    <w:bottom w:val="none" w:sz="0" w:space="0" w:color="auto"/>
                    <w:right w:val="none" w:sz="0" w:space="0" w:color="auto"/>
                  </w:divBdr>
                  <w:divsChild>
                    <w:div w:id="2125734249">
                      <w:marLeft w:val="0"/>
                      <w:marRight w:val="0"/>
                      <w:marTop w:val="0"/>
                      <w:marBottom w:val="0"/>
                      <w:divBdr>
                        <w:top w:val="none" w:sz="0" w:space="0" w:color="auto"/>
                        <w:left w:val="none" w:sz="0" w:space="0" w:color="auto"/>
                        <w:bottom w:val="none" w:sz="0" w:space="0" w:color="auto"/>
                        <w:right w:val="none" w:sz="0" w:space="0" w:color="auto"/>
                      </w:divBdr>
                      <w:divsChild>
                        <w:div w:id="1016346841">
                          <w:marLeft w:val="0"/>
                          <w:marRight w:val="0"/>
                          <w:marTop w:val="0"/>
                          <w:marBottom w:val="0"/>
                          <w:divBdr>
                            <w:top w:val="none" w:sz="0" w:space="0" w:color="auto"/>
                            <w:left w:val="none" w:sz="0" w:space="0" w:color="auto"/>
                            <w:bottom w:val="none" w:sz="0" w:space="0" w:color="auto"/>
                            <w:right w:val="none" w:sz="0" w:space="0" w:color="auto"/>
                          </w:divBdr>
                          <w:divsChild>
                            <w:div w:id="211559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4963218">
      <w:bodyDiv w:val="1"/>
      <w:marLeft w:val="0"/>
      <w:marRight w:val="0"/>
      <w:marTop w:val="0"/>
      <w:marBottom w:val="0"/>
      <w:divBdr>
        <w:top w:val="none" w:sz="0" w:space="0" w:color="auto"/>
        <w:left w:val="none" w:sz="0" w:space="0" w:color="auto"/>
        <w:bottom w:val="none" w:sz="0" w:space="0" w:color="auto"/>
        <w:right w:val="none" w:sz="0" w:space="0" w:color="auto"/>
      </w:divBdr>
      <w:divsChild>
        <w:div w:id="206798372">
          <w:marLeft w:val="0"/>
          <w:marRight w:val="0"/>
          <w:marTop w:val="0"/>
          <w:marBottom w:val="0"/>
          <w:divBdr>
            <w:top w:val="none" w:sz="0" w:space="0" w:color="auto"/>
            <w:left w:val="none" w:sz="0" w:space="0" w:color="auto"/>
            <w:bottom w:val="none" w:sz="0" w:space="0" w:color="auto"/>
            <w:right w:val="none" w:sz="0" w:space="0" w:color="auto"/>
          </w:divBdr>
          <w:divsChild>
            <w:div w:id="1010444851">
              <w:marLeft w:val="0"/>
              <w:marRight w:val="0"/>
              <w:marTop w:val="0"/>
              <w:marBottom w:val="0"/>
              <w:divBdr>
                <w:top w:val="none" w:sz="0" w:space="0" w:color="auto"/>
                <w:left w:val="none" w:sz="0" w:space="0" w:color="auto"/>
                <w:bottom w:val="none" w:sz="0" w:space="0" w:color="auto"/>
                <w:right w:val="none" w:sz="0" w:space="0" w:color="auto"/>
              </w:divBdr>
              <w:divsChild>
                <w:div w:id="1037776071">
                  <w:marLeft w:val="0"/>
                  <w:marRight w:val="0"/>
                  <w:marTop w:val="0"/>
                  <w:marBottom w:val="0"/>
                  <w:divBdr>
                    <w:top w:val="none" w:sz="0" w:space="0" w:color="auto"/>
                    <w:left w:val="none" w:sz="0" w:space="0" w:color="auto"/>
                    <w:bottom w:val="none" w:sz="0" w:space="0" w:color="auto"/>
                    <w:right w:val="none" w:sz="0" w:space="0" w:color="auto"/>
                  </w:divBdr>
                  <w:divsChild>
                    <w:div w:id="440681975">
                      <w:marLeft w:val="0"/>
                      <w:marRight w:val="0"/>
                      <w:marTop w:val="0"/>
                      <w:marBottom w:val="0"/>
                      <w:divBdr>
                        <w:top w:val="none" w:sz="0" w:space="0" w:color="auto"/>
                        <w:left w:val="none" w:sz="0" w:space="0" w:color="auto"/>
                        <w:bottom w:val="none" w:sz="0" w:space="0" w:color="auto"/>
                        <w:right w:val="none" w:sz="0" w:space="0" w:color="auto"/>
                      </w:divBdr>
                      <w:divsChild>
                        <w:div w:id="1819222292">
                          <w:marLeft w:val="0"/>
                          <w:marRight w:val="0"/>
                          <w:marTop w:val="0"/>
                          <w:marBottom w:val="0"/>
                          <w:divBdr>
                            <w:top w:val="none" w:sz="0" w:space="0" w:color="auto"/>
                            <w:left w:val="none" w:sz="0" w:space="0" w:color="auto"/>
                            <w:bottom w:val="none" w:sz="0" w:space="0" w:color="auto"/>
                            <w:right w:val="none" w:sz="0" w:space="0" w:color="auto"/>
                          </w:divBdr>
                          <w:divsChild>
                            <w:div w:id="44126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5849990">
      <w:bodyDiv w:val="1"/>
      <w:marLeft w:val="0"/>
      <w:marRight w:val="0"/>
      <w:marTop w:val="0"/>
      <w:marBottom w:val="0"/>
      <w:divBdr>
        <w:top w:val="none" w:sz="0" w:space="0" w:color="auto"/>
        <w:left w:val="none" w:sz="0" w:space="0" w:color="auto"/>
        <w:bottom w:val="none" w:sz="0" w:space="0" w:color="auto"/>
        <w:right w:val="none" w:sz="0" w:space="0" w:color="auto"/>
      </w:divBdr>
    </w:div>
    <w:div w:id="1959483444">
      <w:bodyDiv w:val="1"/>
      <w:marLeft w:val="0"/>
      <w:marRight w:val="0"/>
      <w:marTop w:val="0"/>
      <w:marBottom w:val="0"/>
      <w:divBdr>
        <w:top w:val="none" w:sz="0" w:space="0" w:color="auto"/>
        <w:left w:val="none" w:sz="0" w:space="0" w:color="auto"/>
        <w:bottom w:val="none" w:sz="0" w:space="0" w:color="auto"/>
        <w:right w:val="none" w:sz="0" w:space="0" w:color="auto"/>
      </w:divBdr>
    </w:div>
    <w:div w:id="1971284641">
      <w:bodyDiv w:val="1"/>
      <w:marLeft w:val="0"/>
      <w:marRight w:val="0"/>
      <w:marTop w:val="0"/>
      <w:marBottom w:val="0"/>
      <w:divBdr>
        <w:top w:val="none" w:sz="0" w:space="0" w:color="auto"/>
        <w:left w:val="none" w:sz="0" w:space="0" w:color="auto"/>
        <w:bottom w:val="none" w:sz="0" w:space="0" w:color="auto"/>
        <w:right w:val="none" w:sz="0" w:space="0" w:color="auto"/>
      </w:divBdr>
    </w:div>
    <w:div w:id="1986467497">
      <w:bodyDiv w:val="1"/>
      <w:marLeft w:val="0"/>
      <w:marRight w:val="0"/>
      <w:marTop w:val="0"/>
      <w:marBottom w:val="0"/>
      <w:divBdr>
        <w:top w:val="none" w:sz="0" w:space="0" w:color="auto"/>
        <w:left w:val="none" w:sz="0" w:space="0" w:color="auto"/>
        <w:bottom w:val="none" w:sz="0" w:space="0" w:color="auto"/>
        <w:right w:val="none" w:sz="0" w:space="0" w:color="auto"/>
      </w:divBdr>
    </w:div>
    <w:div w:id="2100104556">
      <w:bodyDiv w:val="1"/>
      <w:marLeft w:val="0"/>
      <w:marRight w:val="0"/>
      <w:marTop w:val="0"/>
      <w:marBottom w:val="0"/>
      <w:divBdr>
        <w:top w:val="none" w:sz="0" w:space="0" w:color="auto"/>
        <w:left w:val="none" w:sz="0" w:space="0" w:color="auto"/>
        <w:bottom w:val="none" w:sz="0" w:space="0" w:color="auto"/>
        <w:right w:val="none" w:sz="0" w:space="0" w:color="auto"/>
      </w:divBdr>
    </w:div>
    <w:div w:id="2112777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31</Pages>
  <Words>11753</Words>
  <Characters>64642</Characters>
  <Application>Microsoft Office Word</Application>
  <DocSecurity>0</DocSecurity>
  <Lines>538</Lines>
  <Paragraphs>152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Rosenberg</dc:creator>
  <cp:keywords/>
  <dc:description/>
  <cp:lastModifiedBy>Eric Rosenberg</cp:lastModifiedBy>
  <cp:revision>4</cp:revision>
  <dcterms:created xsi:type="dcterms:W3CDTF">2026-08-20T15:05:00Z</dcterms:created>
  <dcterms:modified xsi:type="dcterms:W3CDTF">2026-08-21T11:54:00Z</dcterms:modified>
</cp:coreProperties>
</file>